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776398">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6D2FD3">
      <w:pPr>
        <w:spacing w:after="0" w:line="360" w:lineRule="auto"/>
        <w:jc w:val="center"/>
        <w:rPr>
          <w:rFonts w:ascii="Times New Roman" w:hAnsi="Times New Roman" w:cs="Times New Roman"/>
          <w:sz w:val="28"/>
          <w:szCs w:val="28"/>
        </w:rPr>
      </w:pPr>
    </w:p>
    <w:p w:rsidR="00776398" w:rsidRDefault="00776398" w:rsidP="006D2FD3">
      <w:pPr>
        <w:spacing w:after="0" w:line="360" w:lineRule="auto"/>
        <w:jc w:val="center"/>
        <w:rPr>
          <w:rFonts w:ascii="Times New Roman" w:hAnsi="Times New Roman" w:cs="Times New Roman"/>
          <w:sz w:val="28"/>
          <w:szCs w:val="28"/>
        </w:rPr>
      </w:pPr>
    </w:p>
    <w:p w:rsidR="00776398" w:rsidRPr="00EC0976" w:rsidRDefault="00776398"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2917F9" w:rsidRDefault="00776398" w:rsidP="008113BC">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8113BC" w:rsidRPr="008113BC">
        <w:rPr>
          <w:rFonts w:ascii="Times New Roman" w:hAnsi="Times New Roman" w:cs="Times New Roman"/>
          <w:sz w:val="28"/>
          <w:szCs w:val="28"/>
        </w:rPr>
        <w:t xml:space="preserve">осуществления образовательной деятельности организациями, осуществляющими образовательную деятельность, на территории </w:t>
      </w:r>
    </w:p>
    <w:p w:rsidR="006D2FD3" w:rsidRPr="0073681F" w:rsidRDefault="0073681F" w:rsidP="008113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Бакалинского района Республики Башкортостан</w:t>
      </w:r>
    </w:p>
    <w:p w:rsidR="006D2FD3" w:rsidRPr="002917F9" w:rsidRDefault="00195265" w:rsidP="006D2FD3">
      <w:pPr>
        <w:spacing w:after="0" w:line="360" w:lineRule="auto"/>
        <w:jc w:val="center"/>
        <w:rPr>
          <w:rFonts w:ascii="Times New Roman" w:hAnsi="Times New Roman" w:cs="Times New Roman"/>
          <w:sz w:val="28"/>
          <w:szCs w:val="28"/>
        </w:rPr>
      </w:pPr>
      <w:r w:rsidRPr="00195265">
        <w:rPr>
          <w:rFonts w:ascii="Times New Roman" w:hAnsi="Times New Roman" w:cs="Times New Roman"/>
          <w:sz w:val="28"/>
          <w:szCs w:val="28"/>
        </w:rPr>
        <w:t>МОБУ СОШ села Мустафино</w:t>
      </w: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6D2FD3" w:rsidRDefault="006D2FD3" w:rsidP="006D2FD3">
      <w:pPr>
        <w:spacing w:after="0" w:line="360" w:lineRule="auto"/>
        <w:jc w:val="center"/>
        <w:rPr>
          <w:rFonts w:ascii="Times New Roman" w:hAnsi="Times New Roman" w:cs="Times New Roman"/>
          <w:sz w:val="28"/>
          <w:szCs w:val="28"/>
        </w:rPr>
      </w:pPr>
    </w:p>
    <w:p w:rsidR="008113BC" w:rsidRDefault="008113BC" w:rsidP="006D2FD3">
      <w:pPr>
        <w:spacing w:after="0" w:line="360" w:lineRule="auto"/>
        <w:jc w:val="center"/>
        <w:rPr>
          <w:rFonts w:ascii="Times New Roman" w:hAnsi="Times New Roman" w:cs="Times New Roman"/>
          <w:sz w:val="28"/>
          <w:szCs w:val="28"/>
        </w:rPr>
      </w:pPr>
    </w:p>
    <w:p w:rsidR="00776398" w:rsidRDefault="007622A5" w:rsidP="006D2FD3">
      <w:pPr>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776398">
      <w:pPr>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b/>
          <w:bCs/>
        </w:rPr>
      </w:sdtEndPr>
      <w:sdtContent>
        <w:p w:rsidR="00776398" w:rsidRDefault="00776398">
          <w:pPr>
            <w:pStyle w:val="a9"/>
          </w:pPr>
        </w:p>
        <w:p w:rsidR="009840F5" w:rsidRDefault="00776398">
          <w:pPr>
            <w:pStyle w:val="21"/>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39664902" w:history="1">
            <w:r w:rsidR="009840F5" w:rsidRPr="009307A9">
              <w:rPr>
                <w:rStyle w:val="aa"/>
              </w:rPr>
              <w:t>ВВЕДЕНИЕ</w:t>
            </w:r>
            <w:r w:rsidR="009840F5">
              <w:rPr>
                <w:webHidden/>
              </w:rPr>
              <w:tab/>
            </w:r>
            <w:r w:rsidR="009840F5">
              <w:rPr>
                <w:webHidden/>
              </w:rPr>
              <w:fldChar w:fldCharType="begin"/>
            </w:r>
            <w:r w:rsidR="009840F5">
              <w:rPr>
                <w:webHidden/>
              </w:rPr>
              <w:instrText xml:space="preserve"> PAGEREF _Toc39664902 \h </w:instrText>
            </w:r>
            <w:r w:rsidR="009840F5">
              <w:rPr>
                <w:webHidden/>
              </w:rPr>
            </w:r>
            <w:r w:rsidR="009840F5">
              <w:rPr>
                <w:webHidden/>
              </w:rPr>
              <w:fldChar w:fldCharType="separate"/>
            </w:r>
            <w:r w:rsidR="00B57F6B">
              <w:rPr>
                <w:webHidden/>
              </w:rPr>
              <w:t>3</w:t>
            </w:r>
            <w:r w:rsidR="009840F5">
              <w:rPr>
                <w:webHidden/>
              </w:rPr>
              <w:fldChar w:fldCharType="end"/>
            </w:r>
          </w:hyperlink>
        </w:p>
        <w:p w:rsidR="009840F5" w:rsidRDefault="00867DAC">
          <w:pPr>
            <w:pStyle w:val="21"/>
            <w:rPr>
              <w:rFonts w:asciiTheme="minorHAnsi" w:eastAsiaTheme="minorEastAsia" w:hAnsiTheme="minorHAnsi" w:cstheme="minorBidi"/>
              <w:sz w:val="22"/>
              <w:lang w:eastAsia="ru-RU"/>
            </w:rPr>
          </w:pPr>
          <w:hyperlink w:anchor="_Toc39664903" w:history="1">
            <w:r w:rsidR="009840F5" w:rsidRPr="009307A9">
              <w:rPr>
                <w:rStyle w:val="aa"/>
              </w:rPr>
              <w:t>Результаты независимой оценки качества условий оказания услуг</w:t>
            </w:r>
            <w:r w:rsidR="009840F5">
              <w:rPr>
                <w:webHidden/>
              </w:rPr>
              <w:tab/>
            </w:r>
            <w:r w:rsidR="009840F5">
              <w:rPr>
                <w:webHidden/>
              </w:rPr>
              <w:fldChar w:fldCharType="begin"/>
            </w:r>
            <w:r w:rsidR="009840F5">
              <w:rPr>
                <w:webHidden/>
              </w:rPr>
              <w:instrText xml:space="preserve"> PAGEREF _Toc39664903 \h </w:instrText>
            </w:r>
            <w:r w:rsidR="009840F5">
              <w:rPr>
                <w:webHidden/>
              </w:rPr>
            </w:r>
            <w:r w:rsidR="009840F5">
              <w:rPr>
                <w:webHidden/>
              </w:rPr>
              <w:fldChar w:fldCharType="separate"/>
            </w:r>
            <w:r w:rsidR="00B57F6B">
              <w:rPr>
                <w:webHidden/>
              </w:rPr>
              <w:t>6</w:t>
            </w:r>
            <w:r w:rsidR="009840F5">
              <w:rPr>
                <w:webHidden/>
              </w:rPr>
              <w:fldChar w:fldCharType="end"/>
            </w:r>
          </w:hyperlink>
        </w:p>
        <w:p w:rsidR="009840F5" w:rsidRDefault="00867DAC">
          <w:pPr>
            <w:pStyle w:val="21"/>
            <w:rPr>
              <w:rFonts w:asciiTheme="minorHAnsi" w:eastAsiaTheme="minorEastAsia" w:hAnsiTheme="minorHAnsi" w:cstheme="minorBidi"/>
              <w:sz w:val="22"/>
              <w:lang w:eastAsia="ru-RU"/>
            </w:rPr>
          </w:pPr>
          <w:hyperlink w:anchor="_Toc39664904" w:history="1">
            <w:r w:rsidR="009840F5" w:rsidRPr="009307A9">
              <w:rPr>
                <w:rStyle w:val="aa"/>
              </w:rPr>
              <w:t>Перечень выявленных недостатков по результатам независимой оценки</w:t>
            </w:r>
            <w:r w:rsidR="009840F5">
              <w:rPr>
                <w:webHidden/>
              </w:rPr>
              <w:tab/>
            </w:r>
            <w:r w:rsidR="009840F5">
              <w:rPr>
                <w:webHidden/>
              </w:rPr>
              <w:fldChar w:fldCharType="begin"/>
            </w:r>
            <w:r w:rsidR="009840F5">
              <w:rPr>
                <w:webHidden/>
              </w:rPr>
              <w:instrText xml:space="preserve"> PAGEREF _Toc39664904 \h </w:instrText>
            </w:r>
            <w:r w:rsidR="009840F5">
              <w:rPr>
                <w:webHidden/>
              </w:rPr>
            </w:r>
            <w:r w:rsidR="009840F5">
              <w:rPr>
                <w:webHidden/>
              </w:rPr>
              <w:fldChar w:fldCharType="separate"/>
            </w:r>
            <w:r w:rsidR="00B57F6B">
              <w:rPr>
                <w:webHidden/>
              </w:rPr>
              <w:t>16</w:t>
            </w:r>
            <w:r w:rsidR="009840F5">
              <w:rPr>
                <w:webHidden/>
              </w:rPr>
              <w:fldChar w:fldCharType="end"/>
            </w:r>
          </w:hyperlink>
        </w:p>
        <w:p w:rsidR="009840F5" w:rsidRDefault="00867DAC">
          <w:pPr>
            <w:pStyle w:val="21"/>
            <w:rPr>
              <w:rFonts w:asciiTheme="minorHAnsi" w:eastAsiaTheme="minorEastAsia" w:hAnsiTheme="minorHAnsi" w:cstheme="minorBidi"/>
              <w:sz w:val="22"/>
              <w:lang w:eastAsia="ru-RU"/>
            </w:rPr>
          </w:pPr>
          <w:hyperlink w:anchor="_Toc39664905" w:history="1">
            <w:r w:rsidR="009840F5" w:rsidRPr="009307A9">
              <w:rPr>
                <w:rStyle w:val="aa"/>
              </w:rPr>
              <w:t>ЗАКЛЮЧЕНИЕ</w:t>
            </w:r>
            <w:r w:rsidR="009840F5">
              <w:rPr>
                <w:webHidden/>
              </w:rPr>
              <w:tab/>
            </w:r>
            <w:r w:rsidR="009840F5">
              <w:rPr>
                <w:webHidden/>
              </w:rPr>
              <w:fldChar w:fldCharType="begin"/>
            </w:r>
            <w:r w:rsidR="009840F5">
              <w:rPr>
                <w:webHidden/>
              </w:rPr>
              <w:instrText xml:space="preserve"> PAGEREF _Toc39664905 \h </w:instrText>
            </w:r>
            <w:r w:rsidR="009840F5">
              <w:rPr>
                <w:webHidden/>
              </w:rPr>
            </w:r>
            <w:r w:rsidR="009840F5">
              <w:rPr>
                <w:webHidden/>
              </w:rPr>
              <w:fldChar w:fldCharType="separate"/>
            </w:r>
            <w:r w:rsidR="00B57F6B">
              <w:rPr>
                <w:webHidden/>
              </w:rPr>
              <w:t>18</w:t>
            </w:r>
            <w:r w:rsidR="009840F5">
              <w:rPr>
                <w:webHidden/>
              </w:rPr>
              <w:fldChar w:fldCharType="end"/>
            </w:r>
          </w:hyperlink>
        </w:p>
        <w:p w:rsidR="00776398" w:rsidRDefault="00776398">
          <w:r>
            <w:rPr>
              <w:b/>
              <w:bCs/>
            </w:rPr>
            <w:fldChar w:fldCharType="end"/>
          </w:r>
        </w:p>
      </w:sdtContent>
    </w:sdt>
    <w:p w:rsidR="00776398" w:rsidRPr="00776398" w:rsidRDefault="00776398" w:rsidP="00776398">
      <w:pPr>
        <w:jc w:val="both"/>
        <w:rPr>
          <w:rFonts w:ascii="Times New Roman" w:hAnsi="Times New Roman" w:cs="Times New Roman"/>
          <w:sz w:val="28"/>
          <w:szCs w:val="28"/>
        </w:rPr>
      </w:pPr>
    </w:p>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0" w:name="_Toc39664902"/>
      <w:r>
        <w:lastRenderedPageBreak/>
        <w:t>ВВЕДЕНИЕ</w:t>
      </w:r>
      <w:bookmarkEnd w:id="0"/>
    </w:p>
    <w:p w:rsidR="00776398" w:rsidRDefault="00776398" w:rsidP="00776398">
      <w:pPr>
        <w:jc w:val="both"/>
        <w:rPr>
          <w:rFonts w:ascii="Times New Roman" w:hAnsi="Times New Roman" w:cs="Times New Roman"/>
          <w:sz w:val="28"/>
          <w:szCs w:val="28"/>
        </w:rPr>
      </w:pPr>
    </w:p>
    <w:p w:rsidR="008113BC" w:rsidRPr="008113BC" w:rsidRDefault="00B0732D" w:rsidP="008113BC">
      <w:pPr>
        <w:pStyle w:val="a7"/>
        <w:spacing w:line="360" w:lineRule="auto"/>
        <w:ind w:left="0" w:firstLine="709"/>
        <w:jc w:val="both"/>
        <w:rPr>
          <w:sz w:val="28"/>
          <w:szCs w:val="28"/>
        </w:rPr>
      </w:pPr>
      <w:r w:rsidRPr="008113BC">
        <w:rPr>
          <w:sz w:val="28"/>
          <w:szCs w:val="28"/>
        </w:rPr>
        <w:t xml:space="preserve">Для выявления качества условий </w:t>
      </w:r>
      <w:r w:rsidR="008113BC" w:rsidRPr="008113BC">
        <w:rPr>
          <w:sz w:val="28"/>
          <w:szCs w:val="28"/>
        </w:rPr>
        <w:t xml:space="preserve">осуществления образовательной деятельности организациями, осуществляющими образовательную деятельность, на территории </w:t>
      </w:r>
      <w:r w:rsidR="0073681F">
        <w:rPr>
          <w:sz w:val="28"/>
          <w:szCs w:val="28"/>
          <w:lang w:val="ru-RU"/>
        </w:rPr>
        <w:t>Бакалинского района</w:t>
      </w:r>
      <w:r w:rsidRPr="008113BC">
        <w:rPr>
          <w:sz w:val="28"/>
          <w:szCs w:val="28"/>
        </w:rPr>
        <w:t xml:space="preserve"> была проведена </w:t>
      </w:r>
      <w:r w:rsidR="008113BC" w:rsidRPr="008113BC">
        <w:rPr>
          <w:sz w:val="28"/>
          <w:szCs w:val="28"/>
        </w:rPr>
        <w:t>независимая оценка. Все работы выполнены в соответствии</w:t>
      </w:r>
      <w:r w:rsidR="008113BC">
        <w:rPr>
          <w:sz w:val="28"/>
          <w:szCs w:val="28"/>
          <w:lang w:val="ru-RU"/>
        </w:rPr>
        <w:t xml:space="preserve"> с</w:t>
      </w:r>
      <w:r w:rsidR="008113BC" w:rsidRPr="008113BC">
        <w:rPr>
          <w:sz w:val="28"/>
          <w:szCs w:val="28"/>
        </w:rPr>
        <w:t>:</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05.12.2017№ 392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Постановлением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 № 675н);</w:t>
      </w:r>
    </w:p>
    <w:p w:rsidR="00B0732D" w:rsidRPr="00A14B75" w:rsidRDefault="00B0732D" w:rsidP="00A14B75">
      <w:pPr>
        <w:pStyle w:val="a7"/>
        <w:numPr>
          <w:ilvl w:val="0"/>
          <w:numId w:val="11"/>
        </w:numPr>
        <w:spacing w:line="360" w:lineRule="auto"/>
        <w:ind w:left="0" w:firstLine="709"/>
        <w:jc w:val="both"/>
        <w:rPr>
          <w:sz w:val="28"/>
          <w:szCs w:val="28"/>
        </w:rPr>
      </w:pPr>
      <w:r w:rsidRPr="00A14B75">
        <w:rPr>
          <w:sz w:val="28"/>
          <w:szCs w:val="28"/>
        </w:rPr>
        <w:t xml:space="preserve">Единым порядком расчета показателей, характеризующих общие критерии оценки качества условий оказания услуг организациями в сфере </w:t>
      </w:r>
      <w:r w:rsidRPr="00A14B75">
        <w:rPr>
          <w:sz w:val="28"/>
          <w:szCs w:val="28"/>
        </w:rPr>
        <w:lastRenderedPageBreak/>
        <w:t>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0732D" w:rsidRDefault="00B0732D" w:rsidP="00A14B75">
      <w:pPr>
        <w:pStyle w:val="a7"/>
        <w:numPr>
          <w:ilvl w:val="0"/>
          <w:numId w:val="11"/>
        </w:numPr>
        <w:spacing w:line="360" w:lineRule="auto"/>
        <w:ind w:left="0" w:firstLine="709"/>
        <w:jc w:val="both"/>
        <w:rPr>
          <w:sz w:val="28"/>
          <w:szCs w:val="28"/>
        </w:rPr>
      </w:pPr>
      <w:r w:rsidRPr="00A14B75">
        <w:rPr>
          <w:sz w:val="28"/>
          <w:szCs w:val="28"/>
        </w:rPr>
        <w:t>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порядок ее размещения»;</w:t>
      </w:r>
    </w:p>
    <w:p w:rsidR="008C33A9" w:rsidRPr="001F380E" w:rsidRDefault="008C33A9" w:rsidP="008C33A9">
      <w:pPr>
        <w:pStyle w:val="a7"/>
        <w:numPr>
          <w:ilvl w:val="0"/>
          <w:numId w:val="11"/>
        </w:numPr>
        <w:spacing w:line="360" w:lineRule="auto"/>
        <w:ind w:left="0" w:firstLine="709"/>
        <w:jc w:val="both"/>
        <w:rPr>
          <w:sz w:val="28"/>
          <w:szCs w:val="28"/>
        </w:rPr>
      </w:pPr>
      <w:r w:rsidRPr="001F380E">
        <w:rPr>
          <w:sz w:val="28"/>
          <w:szCs w:val="28"/>
        </w:rPr>
        <w:t>Приказом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28"/>
          <w:szCs w:val="28"/>
          <w:lang w:val="ru-RU"/>
        </w:rPr>
        <w:t>.</w:t>
      </w:r>
    </w:p>
    <w:p w:rsidR="00776398" w:rsidRDefault="00B0732D" w:rsidP="00B0732D">
      <w:pPr>
        <w:spacing w:after="0" w:line="360" w:lineRule="auto"/>
        <w:ind w:firstLine="708"/>
        <w:jc w:val="both"/>
        <w:rPr>
          <w:rFonts w:ascii="Times New Roman" w:hAnsi="Times New Roman" w:cs="Times New Roman"/>
          <w:sz w:val="28"/>
          <w:szCs w:val="28"/>
        </w:rPr>
      </w:pPr>
      <w:r w:rsidRPr="008113BC">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732D" w:rsidRPr="00B0732D">
        <w:rPr>
          <w:rFonts w:ascii="Times New Roman" w:hAnsi="Times New Roman" w:cs="Times New Roman"/>
          <w:sz w:val="28"/>
          <w:szCs w:val="28"/>
        </w:rPr>
        <w:t xml:space="preserve">открытость и доступность информации об организации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комфортность условий предоставления услуг, в том числе время ожидания предоставления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 xml:space="preserve">доброжелательность, вежливость работников организаций в сфере </w:t>
      </w:r>
      <w:r w:rsidR="008458DA">
        <w:rPr>
          <w:rFonts w:ascii="Times New Roman" w:hAnsi="Times New Roman" w:cs="Times New Roman"/>
          <w:sz w:val="28"/>
          <w:szCs w:val="28"/>
        </w:rPr>
        <w:t>образования</w:t>
      </w:r>
      <w:r w:rsidR="00B0732D" w:rsidRPr="00B0732D">
        <w:rPr>
          <w:rFonts w:ascii="Times New Roman" w:hAnsi="Times New Roman" w:cs="Times New Roman"/>
          <w:sz w:val="28"/>
          <w:szCs w:val="28"/>
        </w:rPr>
        <w:t>;</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B073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B073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2F72EB" w:rsidRDefault="002F72EB" w:rsidP="002F72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w:t>
      </w:r>
      <w:r w:rsidR="004A0C7D">
        <w:rPr>
          <w:rFonts w:ascii="Times New Roman" w:hAnsi="Times New Roman" w:cs="Times New Roman"/>
          <w:sz w:val="28"/>
          <w:szCs w:val="28"/>
        </w:rPr>
        <w:t>век</w:t>
      </w:r>
      <w:r>
        <w:rPr>
          <w:rFonts w:ascii="Times New Roman" w:hAnsi="Times New Roman" w:cs="Times New Roman"/>
          <w:sz w:val="28"/>
          <w:szCs w:val="28"/>
        </w:rPr>
        <w:t>.</w:t>
      </w:r>
      <w:r w:rsidR="00594A46">
        <w:rPr>
          <w:rFonts w:ascii="Times New Roman" w:hAnsi="Times New Roman" w:cs="Times New Roman"/>
          <w:sz w:val="28"/>
          <w:szCs w:val="28"/>
        </w:rPr>
        <w:t xml:space="preserve"> Все работы проведены удаленно, при помощи специализированного сервиса «Тестограф».</w:t>
      </w:r>
    </w:p>
    <w:p w:rsidR="00C477BE" w:rsidRDefault="00C477BE">
      <w:pPr>
        <w:spacing w:after="160" w:line="259" w:lineRule="auto"/>
        <w:rPr>
          <w:rFonts w:ascii="Times New Roman" w:eastAsiaTheme="majorEastAsia" w:hAnsi="Times New Roman" w:cstheme="majorBidi"/>
          <w:b/>
          <w:sz w:val="28"/>
          <w:szCs w:val="26"/>
        </w:rPr>
      </w:pPr>
      <w:r>
        <w:br w:type="page"/>
      </w:r>
    </w:p>
    <w:p w:rsidR="00776398" w:rsidRDefault="00776398" w:rsidP="00776398">
      <w:pPr>
        <w:pStyle w:val="2"/>
      </w:pPr>
      <w:bookmarkStart w:id="1" w:name="_Toc39664903"/>
      <w:r>
        <w:lastRenderedPageBreak/>
        <w:t>Результаты независимой оценки качества условий оказания услуг</w:t>
      </w:r>
      <w:bookmarkEnd w:id="1"/>
      <w:r>
        <w:t xml:space="preserve"> </w:t>
      </w:r>
    </w:p>
    <w:p w:rsidR="00776398" w:rsidRPr="00776398" w:rsidRDefault="00776398" w:rsidP="00E51E09">
      <w:pPr>
        <w:spacing w:after="0" w:line="360" w:lineRule="auto"/>
        <w:jc w:val="both"/>
        <w:rPr>
          <w:rFonts w:ascii="Times New Roman" w:hAnsi="Times New Roman" w:cs="Times New Roman"/>
          <w:sz w:val="28"/>
          <w:szCs w:val="28"/>
        </w:rPr>
      </w:pPr>
    </w:p>
    <w:p w:rsidR="00E51E09" w:rsidRDefault="00E51E09" w:rsidP="00E51E0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E51E09">
      <w:pPr>
        <w:spacing w:after="0" w:line="360" w:lineRule="auto"/>
        <w:ind w:firstLine="709"/>
        <w:jc w:val="center"/>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sidR="008C33A9">
        <w:rPr>
          <w:rFonts w:ascii="Times New Roman" w:hAnsi="Times New Roman" w:cs="Times New Roman"/>
          <w:sz w:val="28"/>
          <w:szCs w:val="28"/>
        </w:rPr>
        <w:t>е 1</w:t>
      </w:r>
      <w:r>
        <w:rPr>
          <w:rFonts w:ascii="Times New Roman" w:hAnsi="Times New Roman" w:cs="Times New Roman"/>
          <w:sz w:val="28"/>
          <w:szCs w:val="28"/>
        </w:rPr>
        <w:t xml:space="preserve">. </w:t>
      </w:r>
    </w:p>
    <w:p w:rsidR="00E51E09" w:rsidRDefault="00E51E09" w:rsidP="00E51E09">
      <w:pPr>
        <w:spacing w:after="0" w:line="360" w:lineRule="auto"/>
        <w:jc w:val="both"/>
        <w:rPr>
          <w:rFonts w:ascii="Times New Roman" w:hAnsi="Times New Roman" w:cs="Times New Roman"/>
          <w:b/>
          <w:sz w:val="28"/>
          <w:szCs w:val="28"/>
          <w:u w:val="single"/>
        </w:rPr>
      </w:pPr>
    </w:p>
    <w:p w:rsidR="00E51E09" w:rsidRPr="00E51E09" w:rsidRDefault="00E51E09" w:rsidP="00FB1365">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1</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ook w:val="04A0" w:firstRow="1" w:lastRow="0" w:firstColumn="1" w:lastColumn="0" w:noHBand="0" w:noVBand="1"/>
      </w:tblPr>
      <w:tblGrid>
        <w:gridCol w:w="2220"/>
        <w:gridCol w:w="1776"/>
        <w:gridCol w:w="2181"/>
        <w:gridCol w:w="1776"/>
        <w:gridCol w:w="1392"/>
      </w:tblGrid>
      <w:tr w:rsidR="00965DC3" w:rsidRPr="00346B1F" w:rsidTr="00965DC3">
        <w:trPr>
          <w:cantSplit/>
          <w:trHeight w:val="1457"/>
          <w:jc w:val="center"/>
        </w:trPr>
        <w:tc>
          <w:tcPr>
            <w:tcW w:w="1251" w:type="pct"/>
            <w:vAlign w:val="center"/>
          </w:tcPr>
          <w:p w:rsidR="00965DC3" w:rsidRPr="00965DC3" w:rsidRDefault="00965DC3" w:rsidP="00965DC3">
            <w:pPr>
              <w:spacing w:after="0" w:line="240" w:lineRule="auto"/>
              <w:jc w:val="center"/>
              <w:rPr>
                <w:rFonts w:ascii="Times New Roman" w:hAnsi="Times New Roman" w:cs="Times New Roman"/>
                <w:sz w:val="20"/>
                <w:szCs w:val="28"/>
              </w:rPr>
            </w:pPr>
            <w:r w:rsidRPr="00965DC3">
              <w:rPr>
                <w:rFonts w:ascii="Times New Roman" w:hAnsi="Times New Roman" w:cs="Times New Roman"/>
                <w:sz w:val="20"/>
                <w:szCs w:val="28"/>
              </w:rPr>
              <w:t>Количество информационных объектов на стенде</w:t>
            </w:r>
          </w:p>
          <w:p w:rsidR="00965DC3" w:rsidRPr="00965DC3" w:rsidRDefault="00965DC3" w:rsidP="00965DC3">
            <w:pPr>
              <w:spacing w:after="0" w:line="240" w:lineRule="auto"/>
              <w:jc w:val="center"/>
              <w:rPr>
                <w:rFonts w:ascii="Times New Roman" w:hAnsi="Times New Roman" w:cs="Times New Roman"/>
                <w:sz w:val="20"/>
                <w:szCs w:val="28"/>
              </w:rPr>
            </w:pPr>
            <w:r w:rsidRPr="00965DC3">
              <w:rPr>
                <w:rFonts w:ascii="Times New Roman" w:hAnsi="Times New Roman" w:cs="Times New Roman"/>
                <w:sz w:val="20"/>
                <w:szCs w:val="28"/>
              </w:rPr>
              <w:t>(</w:t>
            </w:r>
            <w:r w:rsidRPr="00965DC3">
              <w:rPr>
                <w:rFonts w:ascii="Times New Roman" w:hAnsi="Times New Roman" w:cs="Times New Roman"/>
                <w:sz w:val="20"/>
                <w:szCs w:val="28"/>
                <w:lang w:val="en-US"/>
              </w:rPr>
              <w:t>max</w:t>
            </w:r>
            <w:r w:rsidRPr="00965DC3">
              <w:rPr>
                <w:rFonts w:ascii="Times New Roman" w:hAnsi="Times New Roman" w:cs="Times New Roman"/>
                <w:sz w:val="20"/>
                <w:szCs w:val="28"/>
              </w:rPr>
              <w:t xml:space="preserve"> 15)</w:t>
            </w:r>
          </w:p>
        </w:tc>
        <w:tc>
          <w:tcPr>
            <w:tcW w:w="810" w:type="pct"/>
            <w:vAlign w:val="center"/>
          </w:tcPr>
          <w:p w:rsidR="00965DC3" w:rsidRPr="00965DC3" w:rsidRDefault="00965DC3" w:rsidP="00965DC3">
            <w:pPr>
              <w:spacing w:after="0" w:line="240" w:lineRule="auto"/>
              <w:jc w:val="center"/>
              <w:rPr>
                <w:rFonts w:ascii="Times New Roman" w:hAnsi="Times New Roman" w:cs="Times New Roman"/>
                <w:sz w:val="20"/>
                <w:szCs w:val="28"/>
              </w:rPr>
            </w:pPr>
            <w:r w:rsidRPr="00965DC3">
              <w:rPr>
                <w:rFonts w:ascii="Times New Roman" w:hAnsi="Times New Roman" w:cs="Times New Roman"/>
                <w:sz w:val="20"/>
                <w:szCs w:val="28"/>
              </w:rPr>
              <w:t>Информативность стенда</w:t>
            </w:r>
          </w:p>
        </w:tc>
        <w:tc>
          <w:tcPr>
            <w:tcW w:w="1230" w:type="pct"/>
            <w:vAlign w:val="center"/>
          </w:tcPr>
          <w:p w:rsidR="00965DC3" w:rsidRPr="00965DC3" w:rsidRDefault="00965DC3" w:rsidP="00965DC3">
            <w:pPr>
              <w:spacing w:after="0" w:line="240" w:lineRule="auto"/>
              <w:jc w:val="center"/>
              <w:rPr>
                <w:rFonts w:ascii="Times New Roman" w:hAnsi="Times New Roman" w:cs="Times New Roman"/>
                <w:sz w:val="20"/>
                <w:szCs w:val="28"/>
              </w:rPr>
            </w:pPr>
            <w:r w:rsidRPr="00965DC3">
              <w:rPr>
                <w:rFonts w:ascii="Times New Roman" w:hAnsi="Times New Roman" w:cs="Times New Roman"/>
                <w:sz w:val="20"/>
                <w:szCs w:val="28"/>
              </w:rPr>
              <w:t>Количество информационных объектов на сайте</w:t>
            </w:r>
          </w:p>
          <w:p w:rsidR="00965DC3" w:rsidRPr="00965DC3" w:rsidRDefault="00965DC3" w:rsidP="00965DC3">
            <w:pPr>
              <w:spacing w:after="0" w:line="240" w:lineRule="auto"/>
              <w:jc w:val="center"/>
              <w:rPr>
                <w:rFonts w:ascii="Times New Roman" w:hAnsi="Times New Roman" w:cs="Times New Roman"/>
                <w:sz w:val="20"/>
                <w:szCs w:val="28"/>
              </w:rPr>
            </w:pPr>
            <w:r w:rsidRPr="00965DC3">
              <w:rPr>
                <w:rFonts w:ascii="Times New Roman" w:hAnsi="Times New Roman" w:cs="Times New Roman"/>
                <w:sz w:val="20"/>
                <w:szCs w:val="28"/>
              </w:rPr>
              <w:t>(</w:t>
            </w:r>
            <w:r w:rsidRPr="00965DC3">
              <w:rPr>
                <w:rFonts w:ascii="Times New Roman" w:hAnsi="Times New Roman" w:cs="Times New Roman"/>
                <w:sz w:val="20"/>
                <w:szCs w:val="28"/>
                <w:lang w:val="en-US"/>
              </w:rPr>
              <w:t>max</w:t>
            </w:r>
            <w:r w:rsidRPr="00965DC3">
              <w:rPr>
                <w:rFonts w:ascii="Times New Roman" w:hAnsi="Times New Roman" w:cs="Times New Roman"/>
                <w:sz w:val="20"/>
                <w:szCs w:val="28"/>
              </w:rPr>
              <w:t xml:space="preserve"> 50)</w:t>
            </w:r>
          </w:p>
        </w:tc>
        <w:tc>
          <w:tcPr>
            <w:tcW w:w="901" w:type="pct"/>
            <w:vAlign w:val="center"/>
          </w:tcPr>
          <w:p w:rsidR="00965DC3" w:rsidRPr="00965DC3" w:rsidRDefault="00965DC3" w:rsidP="00965DC3">
            <w:pPr>
              <w:spacing w:after="0" w:line="240" w:lineRule="auto"/>
              <w:jc w:val="center"/>
              <w:rPr>
                <w:rFonts w:ascii="Times New Roman" w:hAnsi="Times New Roman" w:cs="Times New Roman"/>
                <w:sz w:val="20"/>
                <w:szCs w:val="28"/>
              </w:rPr>
            </w:pPr>
            <w:r w:rsidRPr="00965DC3">
              <w:rPr>
                <w:rFonts w:ascii="Times New Roman" w:hAnsi="Times New Roman" w:cs="Times New Roman"/>
                <w:sz w:val="20"/>
                <w:szCs w:val="28"/>
              </w:rPr>
              <w:t>Информативность сайта</w:t>
            </w:r>
          </w:p>
        </w:tc>
        <w:tc>
          <w:tcPr>
            <w:tcW w:w="808" w:type="pct"/>
            <w:vAlign w:val="center"/>
          </w:tcPr>
          <w:p w:rsidR="00965DC3" w:rsidRPr="00965DC3" w:rsidRDefault="00965DC3" w:rsidP="00965DC3">
            <w:pPr>
              <w:spacing w:after="0" w:line="240" w:lineRule="auto"/>
              <w:jc w:val="center"/>
              <w:rPr>
                <w:rFonts w:ascii="Times New Roman" w:hAnsi="Times New Roman" w:cs="Times New Roman"/>
                <w:sz w:val="20"/>
                <w:szCs w:val="28"/>
              </w:rPr>
            </w:pPr>
            <w:r w:rsidRPr="00965DC3">
              <w:rPr>
                <w:rFonts w:ascii="Times New Roman" w:hAnsi="Times New Roman" w:cs="Times New Roman"/>
                <w:sz w:val="20"/>
                <w:szCs w:val="28"/>
              </w:rPr>
              <w:t>Итоговый балл</w:t>
            </w:r>
          </w:p>
        </w:tc>
      </w:tr>
      <w:tr w:rsidR="00965DC3" w:rsidRPr="00346B1F" w:rsidTr="00965DC3">
        <w:trPr>
          <w:trHeight w:val="299"/>
          <w:jc w:val="center"/>
        </w:trPr>
        <w:tc>
          <w:tcPr>
            <w:tcW w:w="1251" w:type="pct"/>
            <w:vAlign w:val="center"/>
          </w:tcPr>
          <w:p w:rsidR="00965DC3" w:rsidRPr="00346B1F" w:rsidRDefault="00A31A6B"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14</w:t>
            </w:r>
          </w:p>
        </w:tc>
        <w:tc>
          <w:tcPr>
            <w:tcW w:w="810" w:type="pct"/>
            <w:vAlign w:val="center"/>
          </w:tcPr>
          <w:p w:rsidR="00965DC3" w:rsidRPr="00346B1F" w:rsidRDefault="00FC1440"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93,3</w:t>
            </w:r>
          </w:p>
        </w:tc>
        <w:tc>
          <w:tcPr>
            <w:tcW w:w="1230" w:type="pct"/>
            <w:vAlign w:val="center"/>
          </w:tcPr>
          <w:p w:rsidR="00965DC3" w:rsidRPr="008E39C4" w:rsidRDefault="0028793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45</w:t>
            </w:r>
          </w:p>
        </w:tc>
        <w:tc>
          <w:tcPr>
            <w:tcW w:w="901" w:type="pct"/>
            <w:vAlign w:val="center"/>
          </w:tcPr>
          <w:p w:rsidR="00965DC3" w:rsidRPr="008E39C4" w:rsidRDefault="00287934" w:rsidP="008E39C4">
            <w:pPr>
              <w:spacing w:after="0" w:line="240" w:lineRule="auto"/>
              <w:jc w:val="center"/>
              <w:rPr>
                <w:rFonts w:ascii="Times New Roman" w:hAnsi="Times New Roman" w:cs="Times New Roman"/>
                <w:sz w:val="16"/>
                <w:szCs w:val="28"/>
              </w:rPr>
            </w:pPr>
            <w:r>
              <w:rPr>
                <w:rFonts w:ascii="Times New Roman" w:hAnsi="Times New Roman" w:cs="Times New Roman"/>
                <w:sz w:val="16"/>
                <w:szCs w:val="28"/>
              </w:rPr>
              <w:t>90</w:t>
            </w:r>
          </w:p>
        </w:tc>
        <w:tc>
          <w:tcPr>
            <w:tcW w:w="808" w:type="pct"/>
            <w:vAlign w:val="center"/>
          </w:tcPr>
          <w:p w:rsidR="00965DC3" w:rsidRPr="002C72A4" w:rsidRDefault="00287934" w:rsidP="008E39C4">
            <w:pPr>
              <w:spacing w:after="0" w:line="240" w:lineRule="auto"/>
              <w:jc w:val="center"/>
              <w:rPr>
                <w:rFonts w:ascii="Times New Roman" w:hAnsi="Times New Roman" w:cs="Times New Roman"/>
                <w:b/>
                <w:sz w:val="16"/>
                <w:szCs w:val="28"/>
              </w:rPr>
            </w:pPr>
            <w:r>
              <w:rPr>
                <w:rFonts w:ascii="Times New Roman" w:hAnsi="Times New Roman" w:cs="Times New Roman"/>
                <w:b/>
                <w:sz w:val="16"/>
                <w:szCs w:val="28"/>
              </w:rPr>
              <w:t>91</w:t>
            </w:r>
            <w:r w:rsidR="00535E22">
              <w:rPr>
                <w:rFonts w:ascii="Times New Roman" w:hAnsi="Times New Roman" w:cs="Times New Roman"/>
                <w:b/>
                <w:sz w:val="16"/>
                <w:szCs w:val="28"/>
              </w:rPr>
              <w:t>,7</w:t>
            </w:r>
          </w:p>
        </w:tc>
      </w:tr>
    </w:tbl>
    <w:p w:rsidR="00E51E09" w:rsidRDefault="00E51E09" w:rsidP="00E51E09">
      <w:pPr>
        <w:spacing w:after="0" w:line="360" w:lineRule="auto"/>
        <w:jc w:val="both"/>
        <w:rPr>
          <w:rFonts w:ascii="Times New Roman" w:hAnsi="Times New Roman" w:cs="Times New Roman"/>
          <w:sz w:val="28"/>
          <w:szCs w:val="28"/>
        </w:rPr>
      </w:pPr>
    </w:p>
    <w:p w:rsidR="00E51E09" w:rsidRPr="00EF3863" w:rsidRDefault="00E51E09" w:rsidP="00E51E09">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w:t>
      </w:r>
      <w:r w:rsidR="008C33A9">
        <w:rPr>
          <w:rFonts w:ascii="Times New Roman" w:hAnsi="Times New Roman" w:cs="Times New Roman"/>
          <w:sz w:val="28"/>
          <w:szCs w:val="28"/>
        </w:rPr>
        <w:t>2</w:t>
      </w:r>
      <w:r>
        <w:rPr>
          <w:rFonts w:ascii="Times New Roman" w:hAnsi="Times New Roman" w:cs="Times New Roman"/>
          <w:sz w:val="28"/>
          <w:szCs w:val="28"/>
        </w:rPr>
        <w:t>.</w:t>
      </w:r>
    </w:p>
    <w:p w:rsidR="00965DC3" w:rsidRDefault="00965DC3" w:rsidP="00E51E09">
      <w:pPr>
        <w:spacing w:after="0" w:line="360" w:lineRule="auto"/>
        <w:ind w:firstLine="709"/>
        <w:jc w:val="both"/>
        <w:rPr>
          <w:rFonts w:ascii="Times New Roman" w:hAnsi="Times New Roman" w:cs="Times New Roman"/>
          <w:sz w:val="28"/>
          <w:szCs w:val="28"/>
        </w:rPr>
      </w:pPr>
    </w:p>
    <w:p w:rsidR="00E51E09" w:rsidRPr="00A23729" w:rsidRDefault="00E51E09" w:rsidP="00FB1365">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2</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1870"/>
        <w:gridCol w:w="1870"/>
        <w:gridCol w:w="1869"/>
        <w:gridCol w:w="1869"/>
        <w:gridCol w:w="1867"/>
      </w:tblGrid>
      <w:tr w:rsidR="00965DC3" w:rsidRPr="002865CE" w:rsidTr="00965DC3">
        <w:trPr>
          <w:cantSplit/>
          <w:trHeight w:val="1227"/>
        </w:trPr>
        <w:tc>
          <w:tcPr>
            <w:tcW w:w="1000" w:type="pct"/>
            <w:vAlign w:val="center"/>
          </w:tcPr>
          <w:p w:rsidR="00965DC3" w:rsidRPr="002865CE" w:rsidRDefault="00965DC3" w:rsidP="00965DC3">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Телефон</w:t>
            </w:r>
          </w:p>
        </w:tc>
        <w:tc>
          <w:tcPr>
            <w:tcW w:w="1000" w:type="pct"/>
            <w:vAlign w:val="center"/>
          </w:tcPr>
          <w:p w:rsidR="00965DC3" w:rsidRPr="002865CE" w:rsidRDefault="00965DC3" w:rsidP="00965DC3">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Электронная почта</w:t>
            </w:r>
          </w:p>
        </w:tc>
        <w:tc>
          <w:tcPr>
            <w:tcW w:w="1000" w:type="pct"/>
            <w:vAlign w:val="center"/>
          </w:tcPr>
          <w:p w:rsidR="00965DC3" w:rsidRPr="002865CE" w:rsidRDefault="00965DC3" w:rsidP="00965DC3">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Электронные сервисы*</w:t>
            </w:r>
          </w:p>
        </w:tc>
        <w:tc>
          <w:tcPr>
            <w:tcW w:w="1000" w:type="pct"/>
            <w:vAlign w:val="center"/>
          </w:tcPr>
          <w:p w:rsidR="00965DC3" w:rsidRPr="002865CE" w:rsidRDefault="00965DC3" w:rsidP="00965DC3">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Анкета или ссылка на нее**</w:t>
            </w:r>
          </w:p>
        </w:tc>
        <w:tc>
          <w:tcPr>
            <w:tcW w:w="999" w:type="pct"/>
            <w:vAlign w:val="center"/>
          </w:tcPr>
          <w:p w:rsidR="00965DC3" w:rsidRPr="002865CE" w:rsidRDefault="00965DC3" w:rsidP="00965DC3">
            <w:pPr>
              <w:spacing w:after="0" w:line="240" w:lineRule="auto"/>
              <w:jc w:val="center"/>
              <w:rPr>
                <w:rFonts w:ascii="Times New Roman" w:hAnsi="Times New Roman" w:cs="Times New Roman"/>
                <w:sz w:val="24"/>
                <w:szCs w:val="18"/>
              </w:rPr>
            </w:pPr>
            <w:r w:rsidRPr="002865CE">
              <w:rPr>
                <w:rFonts w:ascii="Times New Roman" w:hAnsi="Times New Roman" w:cs="Times New Roman"/>
                <w:sz w:val="24"/>
                <w:szCs w:val="18"/>
              </w:rPr>
              <w:t>Итоговый балл</w:t>
            </w:r>
          </w:p>
        </w:tc>
      </w:tr>
      <w:tr w:rsidR="00965DC3" w:rsidRPr="002865CE" w:rsidTr="00965DC3">
        <w:trPr>
          <w:trHeight w:val="427"/>
        </w:trPr>
        <w:tc>
          <w:tcPr>
            <w:tcW w:w="1000" w:type="pct"/>
            <w:vAlign w:val="center"/>
          </w:tcPr>
          <w:p w:rsidR="00965DC3" w:rsidRPr="002865CE" w:rsidRDefault="00304506"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1000" w:type="pct"/>
            <w:vAlign w:val="center"/>
          </w:tcPr>
          <w:p w:rsidR="00965DC3" w:rsidRPr="002865CE" w:rsidRDefault="00304506"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1000" w:type="pct"/>
            <w:vAlign w:val="center"/>
          </w:tcPr>
          <w:p w:rsidR="00965DC3" w:rsidRPr="002865CE" w:rsidRDefault="00304506"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1000" w:type="pct"/>
            <w:vAlign w:val="center"/>
          </w:tcPr>
          <w:p w:rsidR="00965DC3" w:rsidRPr="002865CE" w:rsidRDefault="00304506" w:rsidP="00346B1F">
            <w:pPr>
              <w:spacing w:after="0" w:line="240" w:lineRule="auto"/>
              <w:jc w:val="center"/>
              <w:rPr>
                <w:rFonts w:ascii="Times New Roman" w:hAnsi="Times New Roman" w:cs="Times New Roman"/>
                <w:sz w:val="24"/>
                <w:szCs w:val="18"/>
              </w:rPr>
            </w:pPr>
            <w:r>
              <w:rPr>
                <w:rFonts w:ascii="Times New Roman" w:hAnsi="Times New Roman" w:cs="Times New Roman"/>
                <w:sz w:val="24"/>
                <w:szCs w:val="18"/>
              </w:rPr>
              <w:t>+</w:t>
            </w:r>
          </w:p>
        </w:tc>
        <w:tc>
          <w:tcPr>
            <w:tcW w:w="999" w:type="pct"/>
            <w:vAlign w:val="center"/>
          </w:tcPr>
          <w:p w:rsidR="00965DC3" w:rsidRPr="00B33D94" w:rsidRDefault="00304506" w:rsidP="00346B1F">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100</w:t>
            </w:r>
          </w:p>
        </w:tc>
      </w:tr>
    </w:tbl>
    <w:p w:rsidR="00E51E09" w:rsidRPr="001D0108"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r w:rsidR="0073681F">
        <w:rPr>
          <w:rFonts w:ascii="Times New Roman" w:hAnsi="Times New Roman" w:cs="Times New Roman"/>
          <w:sz w:val="28"/>
          <w:szCs w:val="28"/>
        </w:rPr>
        <w:t>, часто задаваемые вопросы и т.п.</w:t>
      </w:r>
    </w:p>
    <w:p w:rsidR="00E51E09" w:rsidRDefault="00E51E09" w:rsidP="00E51E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9556A" w:rsidRDefault="00E9556A" w:rsidP="00E51E09">
      <w:pPr>
        <w:spacing w:after="0" w:line="360" w:lineRule="auto"/>
        <w:ind w:firstLine="709"/>
        <w:jc w:val="both"/>
        <w:rPr>
          <w:rFonts w:ascii="Times New Roman" w:hAnsi="Times New Roman" w:cs="Times New Roman"/>
          <w:i/>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sidR="008C33A9">
        <w:rPr>
          <w:rFonts w:ascii="Times New Roman" w:hAnsi="Times New Roman" w:cs="Times New Roman"/>
          <w:sz w:val="28"/>
          <w:szCs w:val="28"/>
        </w:rPr>
        <w:t>3</w:t>
      </w:r>
      <w:r w:rsidRPr="004D1BB5">
        <w:rPr>
          <w:rFonts w:ascii="Times New Roman" w:hAnsi="Times New Roman" w:cs="Times New Roman"/>
          <w:sz w:val="28"/>
          <w:szCs w:val="28"/>
        </w:rPr>
        <w:t>.</w:t>
      </w:r>
    </w:p>
    <w:p w:rsidR="008C33A9" w:rsidRDefault="008C33A9" w:rsidP="00E51E09">
      <w:pPr>
        <w:spacing w:after="0" w:line="360" w:lineRule="auto"/>
        <w:ind w:firstLine="708"/>
        <w:jc w:val="both"/>
        <w:rPr>
          <w:rFonts w:ascii="Times New Roman" w:hAnsi="Times New Roman" w:cs="Times New Roman"/>
          <w:sz w:val="28"/>
          <w:szCs w:val="28"/>
        </w:rPr>
      </w:pPr>
    </w:p>
    <w:p w:rsidR="00E51E09" w:rsidRPr="007622A5" w:rsidRDefault="00E51E09" w:rsidP="00E51E0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3</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ook w:val="04A0" w:firstRow="1" w:lastRow="0" w:firstColumn="1" w:lastColumn="0" w:noHBand="0" w:noVBand="1"/>
      </w:tblPr>
      <w:tblGrid>
        <w:gridCol w:w="1317"/>
        <w:gridCol w:w="1871"/>
        <w:gridCol w:w="948"/>
        <w:gridCol w:w="1317"/>
        <w:gridCol w:w="1871"/>
        <w:gridCol w:w="836"/>
        <w:gridCol w:w="1185"/>
      </w:tblGrid>
      <w:tr w:rsidR="00965DC3" w:rsidRPr="00C03AA4" w:rsidTr="00965DC3">
        <w:trPr>
          <w:cantSplit/>
          <w:trHeight w:val="1316"/>
          <w:jc w:val="center"/>
        </w:trPr>
        <w:tc>
          <w:tcPr>
            <w:tcW w:w="680" w:type="pct"/>
            <w:vAlign w:val="center"/>
          </w:tcPr>
          <w:p w:rsidR="00965DC3" w:rsidRPr="00965DC3" w:rsidRDefault="00965DC3" w:rsidP="00965DC3">
            <w:pPr>
              <w:spacing w:after="0" w:line="240" w:lineRule="auto"/>
              <w:jc w:val="center"/>
              <w:rPr>
                <w:rFonts w:ascii="Times New Roman" w:hAnsi="Times New Roman" w:cs="Times New Roman"/>
                <w:szCs w:val="20"/>
              </w:rPr>
            </w:pPr>
            <w:r w:rsidRPr="00965DC3">
              <w:rPr>
                <w:rFonts w:ascii="Times New Roman" w:hAnsi="Times New Roman" w:cs="Times New Roman"/>
                <w:szCs w:val="20"/>
              </w:rPr>
              <w:t>Количество оценивших стенд</w:t>
            </w:r>
          </w:p>
        </w:tc>
        <w:tc>
          <w:tcPr>
            <w:tcW w:w="677" w:type="pct"/>
            <w:vAlign w:val="center"/>
          </w:tcPr>
          <w:p w:rsidR="00965DC3" w:rsidRPr="00965DC3" w:rsidRDefault="00965DC3" w:rsidP="00965DC3">
            <w:pPr>
              <w:spacing w:after="0" w:line="240" w:lineRule="auto"/>
              <w:jc w:val="center"/>
              <w:rPr>
                <w:rFonts w:ascii="Times New Roman" w:hAnsi="Times New Roman" w:cs="Times New Roman"/>
                <w:szCs w:val="20"/>
              </w:rPr>
            </w:pPr>
            <w:r w:rsidRPr="00965DC3">
              <w:rPr>
                <w:rFonts w:ascii="Times New Roman" w:hAnsi="Times New Roman" w:cs="Times New Roman"/>
                <w:szCs w:val="20"/>
              </w:rPr>
              <w:t>Кол-во удовлетворенных</w:t>
            </w:r>
          </w:p>
        </w:tc>
        <w:tc>
          <w:tcPr>
            <w:tcW w:w="676" w:type="pct"/>
            <w:vAlign w:val="center"/>
          </w:tcPr>
          <w:p w:rsidR="00965DC3" w:rsidRPr="00965DC3" w:rsidRDefault="00965DC3" w:rsidP="00965DC3">
            <w:pPr>
              <w:spacing w:after="0" w:line="240" w:lineRule="auto"/>
              <w:jc w:val="center"/>
              <w:rPr>
                <w:rFonts w:ascii="Times New Roman" w:hAnsi="Times New Roman" w:cs="Times New Roman"/>
                <w:szCs w:val="20"/>
              </w:rPr>
            </w:pPr>
            <w:r w:rsidRPr="00965DC3">
              <w:rPr>
                <w:rFonts w:ascii="Times New Roman" w:hAnsi="Times New Roman" w:cs="Times New Roman"/>
                <w:szCs w:val="20"/>
              </w:rPr>
              <w:t>Баллы по стенду</w:t>
            </w:r>
          </w:p>
        </w:tc>
        <w:tc>
          <w:tcPr>
            <w:tcW w:w="813" w:type="pct"/>
            <w:vAlign w:val="center"/>
          </w:tcPr>
          <w:p w:rsidR="00965DC3" w:rsidRPr="00965DC3" w:rsidRDefault="00965DC3" w:rsidP="00965DC3">
            <w:pPr>
              <w:spacing w:after="0" w:line="240" w:lineRule="auto"/>
              <w:jc w:val="center"/>
              <w:rPr>
                <w:rFonts w:ascii="Times New Roman" w:hAnsi="Times New Roman" w:cs="Times New Roman"/>
                <w:szCs w:val="20"/>
              </w:rPr>
            </w:pPr>
            <w:r w:rsidRPr="00965DC3">
              <w:rPr>
                <w:rFonts w:ascii="Times New Roman" w:hAnsi="Times New Roman" w:cs="Times New Roman"/>
                <w:szCs w:val="20"/>
              </w:rPr>
              <w:t>Количество оценивших сайт</w:t>
            </w:r>
          </w:p>
        </w:tc>
        <w:tc>
          <w:tcPr>
            <w:tcW w:w="676" w:type="pct"/>
            <w:vAlign w:val="center"/>
          </w:tcPr>
          <w:p w:rsidR="00965DC3" w:rsidRPr="00965DC3" w:rsidRDefault="00965DC3" w:rsidP="00965DC3">
            <w:pPr>
              <w:spacing w:after="0" w:line="240" w:lineRule="auto"/>
              <w:jc w:val="center"/>
              <w:rPr>
                <w:rFonts w:ascii="Times New Roman" w:hAnsi="Times New Roman" w:cs="Times New Roman"/>
                <w:szCs w:val="20"/>
              </w:rPr>
            </w:pPr>
            <w:r w:rsidRPr="00965DC3">
              <w:rPr>
                <w:rFonts w:ascii="Times New Roman" w:hAnsi="Times New Roman" w:cs="Times New Roman"/>
                <w:szCs w:val="20"/>
              </w:rPr>
              <w:t>Кол-во удовлетворенных</w:t>
            </w:r>
          </w:p>
        </w:tc>
        <w:tc>
          <w:tcPr>
            <w:tcW w:w="676" w:type="pct"/>
            <w:vAlign w:val="center"/>
          </w:tcPr>
          <w:p w:rsidR="00965DC3" w:rsidRPr="00965DC3" w:rsidRDefault="00965DC3" w:rsidP="00965DC3">
            <w:pPr>
              <w:spacing w:after="0" w:line="240" w:lineRule="auto"/>
              <w:jc w:val="center"/>
              <w:rPr>
                <w:rFonts w:ascii="Times New Roman" w:hAnsi="Times New Roman" w:cs="Times New Roman"/>
                <w:szCs w:val="20"/>
              </w:rPr>
            </w:pPr>
            <w:r w:rsidRPr="00965DC3">
              <w:rPr>
                <w:rFonts w:ascii="Times New Roman" w:hAnsi="Times New Roman" w:cs="Times New Roman"/>
                <w:szCs w:val="20"/>
              </w:rPr>
              <w:t>Баллы по сайту</w:t>
            </w:r>
          </w:p>
        </w:tc>
        <w:tc>
          <w:tcPr>
            <w:tcW w:w="804" w:type="pct"/>
            <w:vAlign w:val="center"/>
          </w:tcPr>
          <w:p w:rsidR="00965DC3" w:rsidRPr="00965DC3" w:rsidRDefault="00965DC3" w:rsidP="00965DC3">
            <w:pPr>
              <w:spacing w:after="0" w:line="240" w:lineRule="auto"/>
              <w:jc w:val="center"/>
              <w:rPr>
                <w:rFonts w:ascii="Times New Roman" w:hAnsi="Times New Roman" w:cs="Times New Roman"/>
                <w:szCs w:val="20"/>
              </w:rPr>
            </w:pPr>
            <w:r w:rsidRPr="00965DC3">
              <w:rPr>
                <w:rFonts w:ascii="Times New Roman" w:hAnsi="Times New Roman" w:cs="Times New Roman"/>
                <w:szCs w:val="20"/>
              </w:rPr>
              <w:t xml:space="preserve">Итоговый балл </w:t>
            </w:r>
          </w:p>
        </w:tc>
      </w:tr>
      <w:tr w:rsidR="00965DC3" w:rsidRPr="00C03AA4" w:rsidTr="00965DC3">
        <w:trPr>
          <w:trHeight w:val="309"/>
          <w:jc w:val="center"/>
        </w:trPr>
        <w:tc>
          <w:tcPr>
            <w:tcW w:w="680" w:type="pct"/>
            <w:vAlign w:val="center"/>
          </w:tcPr>
          <w:p w:rsidR="00965DC3" w:rsidRPr="00FB1365" w:rsidRDefault="00141DC6"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677" w:type="pct"/>
            <w:vAlign w:val="center"/>
          </w:tcPr>
          <w:p w:rsidR="00965DC3" w:rsidRPr="00FB1365" w:rsidRDefault="00141DC6"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676" w:type="pct"/>
            <w:vAlign w:val="center"/>
          </w:tcPr>
          <w:p w:rsidR="00965DC3" w:rsidRPr="00FB1365" w:rsidRDefault="00141DC6" w:rsidP="00FB1365">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93</w:t>
            </w:r>
          </w:p>
        </w:tc>
        <w:tc>
          <w:tcPr>
            <w:tcW w:w="813" w:type="pct"/>
            <w:vAlign w:val="center"/>
          </w:tcPr>
          <w:p w:rsidR="00965DC3" w:rsidRPr="00FB1365" w:rsidRDefault="00141DC6"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676" w:type="pct"/>
            <w:vAlign w:val="center"/>
          </w:tcPr>
          <w:p w:rsidR="00965DC3" w:rsidRPr="00FB1365" w:rsidRDefault="00141DC6" w:rsidP="00FB1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676" w:type="pct"/>
            <w:vAlign w:val="center"/>
          </w:tcPr>
          <w:p w:rsidR="00965DC3" w:rsidRPr="00FB1365" w:rsidRDefault="00141DC6" w:rsidP="00FB1365">
            <w:pPr>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100</w:t>
            </w:r>
          </w:p>
        </w:tc>
        <w:tc>
          <w:tcPr>
            <w:tcW w:w="804" w:type="pct"/>
            <w:vAlign w:val="center"/>
          </w:tcPr>
          <w:p w:rsidR="00965DC3" w:rsidRPr="00FB1365" w:rsidRDefault="00141DC6" w:rsidP="00FB1365">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96,5</w:t>
            </w:r>
          </w:p>
        </w:tc>
      </w:tr>
    </w:tbl>
    <w:p w:rsidR="00A83639" w:rsidRDefault="00A83639">
      <w:pPr>
        <w:spacing w:after="160" w:line="259" w:lineRule="auto"/>
      </w:pPr>
      <w:r>
        <w:br w:type="page"/>
      </w:r>
    </w:p>
    <w:p w:rsidR="00E51E09" w:rsidRDefault="00E51E09" w:rsidP="00C03AA4">
      <w:pPr>
        <w:spacing w:after="0" w:line="360" w:lineRule="auto"/>
        <w:jc w:val="center"/>
        <w:rPr>
          <w:rFonts w:ascii="Times New Roman" w:hAnsi="Times New Roman" w:cs="Times New Roman"/>
          <w:sz w:val="28"/>
          <w:szCs w:val="28"/>
        </w:rPr>
      </w:pPr>
      <w:r w:rsidRPr="003E2223">
        <w:rPr>
          <w:rFonts w:ascii="Times New Roman" w:hAnsi="Times New Roman" w:cs="Times New Roman"/>
          <w:sz w:val="28"/>
          <w:szCs w:val="28"/>
        </w:rPr>
        <w:lastRenderedPageBreak/>
        <w:t>2. Показатели, характеризующие комфортность условий предоставления услуг</w:t>
      </w:r>
      <w:r>
        <w:rPr>
          <w:rFonts w:ascii="Times New Roman" w:hAnsi="Times New Roman" w:cs="Times New Roman"/>
          <w:sz w:val="28"/>
          <w:szCs w:val="28"/>
        </w:rPr>
        <w:t>.</w:t>
      </w:r>
    </w:p>
    <w:p w:rsidR="00C03AA4" w:rsidRPr="003E2223" w:rsidRDefault="00C03AA4" w:rsidP="00C03AA4">
      <w:pPr>
        <w:spacing w:after="0" w:line="360" w:lineRule="auto"/>
        <w:jc w:val="center"/>
        <w:rPr>
          <w:rFonts w:ascii="Times New Roman" w:hAnsi="Times New Roman" w:cs="Times New Roman"/>
          <w:sz w:val="28"/>
          <w:szCs w:val="28"/>
        </w:rPr>
      </w:pPr>
    </w:p>
    <w:p w:rsidR="00E51E09" w:rsidRPr="00C03AA4" w:rsidRDefault="00E51E09" w:rsidP="00E51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4</w:t>
      </w:r>
      <w:r>
        <w:rPr>
          <w:rFonts w:ascii="Times New Roman" w:hAnsi="Times New Roman" w:cs="Times New Roman"/>
          <w:sz w:val="28"/>
          <w:szCs w:val="28"/>
        </w:rPr>
        <w:t>.</w:t>
      </w:r>
    </w:p>
    <w:p w:rsidR="00A83639" w:rsidRDefault="00A83639" w:rsidP="00E51E09">
      <w:pPr>
        <w:spacing w:after="0" w:line="360" w:lineRule="auto"/>
        <w:ind w:firstLine="709"/>
        <w:jc w:val="both"/>
        <w:rPr>
          <w:rFonts w:ascii="Times New Roman" w:hAnsi="Times New Roman" w:cs="Times New Roman"/>
          <w:sz w:val="28"/>
          <w:szCs w:val="28"/>
        </w:rPr>
      </w:pPr>
    </w:p>
    <w:p w:rsidR="00E51E09" w:rsidRPr="00A23729" w:rsidRDefault="00E51E09" w:rsidP="002D52D7">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1259"/>
        <w:gridCol w:w="2037"/>
        <w:gridCol w:w="2039"/>
        <w:gridCol w:w="1748"/>
        <w:gridCol w:w="1234"/>
        <w:gridCol w:w="1028"/>
      </w:tblGrid>
      <w:tr w:rsidR="00965DC3" w:rsidRPr="008F1ADD" w:rsidTr="00965DC3">
        <w:trPr>
          <w:cantSplit/>
          <w:trHeight w:val="2719"/>
          <w:jc w:val="center"/>
        </w:trPr>
        <w:tc>
          <w:tcPr>
            <w:tcW w:w="673" w:type="pct"/>
            <w:textDirection w:val="btLr"/>
            <w:vAlign w:val="center"/>
          </w:tcPr>
          <w:p w:rsidR="00965DC3" w:rsidRPr="00C03AA4" w:rsidRDefault="00965DC3"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1090" w:type="pct"/>
            <w:textDirection w:val="btLr"/>
            <w:vAlign w:val="center"/>
          </w:tcPr>
          <w:p w:rsidR="00965DC3" w:rsidRPr="00C03AA4" w:rsidRDefault="00965DC3"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1091" w:type="pct"/>
            <w:textDirection w:val="btLr"/>
            <w:vAlign w:val="center"/>
          </w:tcPr>
          <w:p w:rsidR="00965DC3" w:rsidRPr="00C03AA4" w:rsidRDefault="00965DC3"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935" w:type="pct"/>
            <w:textDirection w:val="btLr"/>
            <w:vAlign w:val="center"/>
          </w:tcPr>
          <w:p w:rsidR="00965DC3" w:rsidRPr="00C03AA4" w:rsidRDefault="00965DC3"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660" w:type="pct"/>
            <w:textDirection w:val="btLr"/>
            <w:vAlign w:val="center"/>
          </w:tcPr>
          <w:p w:rsidR="00965DC3" w:rsidRPr="00C03AA4" w:rsidRDefault="00965DC3"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550" w:type="pct"/>
            <w:textDirection w:val="btLr"/>
            <w:vAlign w:val="center"/>
          </w:tcPr>
          <w:p w:rsidR="00965DC3" w:rsidRPr="00C03AA4" w:rsidRDefault="00965DC3" w:rsidP="002D52D7">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965DC3" w:rsidRPr="008F1ADD" w:rsidTr="00965DC3">
        <w:trPr>
          <w:trHeight w:val="306"/>
          <w:jc w:val="center"/>
        </w:trPr>
        <w:tc>
          <w:tcPr>
            <w:tcW w:w="673" w:type="pct"/>
            <w:vAlign w:val="center"/>
          </w:tcPr>
          <w:p w:rsidR="00965DC3" w:rsidRPr="00565923" w:rsidRDefault="00A31A6B"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90" w:type="pct"/>
            <w:vAlign w:val="center"/>
          </w:tcPr>
          <w:p w:rsidR="00965DC3" w:rsidRPr="00565923" w:rsidRDefault="00A31A6B"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1091" w:type="pct"/>
            <w:vAlign w:val="center"/>
          </w:tcPr>
          <w:p w:rsidR="00965DC3" w:rsidRPr="00565923" w:rsidRDefault="00A31A6B"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935" w:type="pct"/>
            <w:vAlign w:val="center"/>
          </w:tcPr>
          <w:p w:rsidR="00965DC3" w:rsidRPr="00565923" w:rsidRDefault="00A31A6B"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660" w:type="pct"/>
            <w:vAlign w:val="center"/>
          </w:tcPr>
          <w:p w:rsidR="00965DC3" w:rsidRPr="00565923" w:rsidRDefault="00A31A6B"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550" w:type="pct"/>
            <w:vAlign w:val="center"/>
          </w:tcPr>
          <w:p w:rsidR="00965DC3" w:rsidRPr="00565923" w:rsidRDefault="00A31A6B"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bl>
    <w:p w:rsidR="00E51E09" w:rsidRDefault="00E51E09" w:rsidP="00E51E09"/>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FB37CA" w:rsidRDefault="00FB37CA" w:rsidP="00FB37CA">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В соответствии с Единым порядком расчета в</w:t>
      </w:r>
      <w:r>
        <w:rPr>
          <w:rFonts w:ascii="Times New Roman" w:hAnsi="Times New Roman" w:cs="Times New Roman"/>
          <w:b/>
          <w:sz w:val="28"/>
          <w:szCs w:val="28"/>
          <w:u w:val="single"/>
        </w:rPr>
        <w:t xml:space="preserve"> учреждениях образования показатель 2.2 не применяется. Рассчитывается как среднее арифметическое между 2.1 и 2.3.</w:t>
      </w:r>
    </w:p>
    <w:p w:rsidR="002D52D7" w:rsidRDefault="002D52D7" w:rsidP="00E51E09">
      <w:pPr>
        <w:spacing w:after="0" w:line="360" w:lineRule="auto"/>
        <w:ind w:firstLine="708"/>
        <w:jc w:val="both"/>
        <w:rPr>
          <w:rFonts w:ascii="Times New Roman" w:hAnsi="Times New Roman" w:cs="Times New Roman"/>
          <w:i/>
          <w:sz w:val="28"/>
          <w:szCs w:val="28"/>
        </w:rPr>
      </w:pPr>
    </w:p>
    <w:p w:rsidR="00E51E09" w:rsidRPr="003D5FEA" w:rsidRDefault="00E51E09" w:rsidP="00E51E09">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w:t>
      </w:r>
      <w:r w:rsidR="008C33A9">
        <w:rPr>
          <w:rFonts w:ascii="Times New Roman" w:hAnsi="Times New Roman" w:cs="Times New Roman"/>
          <w:sz w:val="28"/>
          <w:szCs w:val="28"/>
        </w:rPr>
        <w:t>ритерию представлены в Таблице 5</w:t>
      </w:r>
      <w:r>
        <w:rPr>
          <w:rFonts w:ascii="Times New Roman" w:hAnsi="Times New Roman" w:cs="Times New Roman"/>
          <w:sz w:val="28"/>
          <w:szCs w:val="28"/>
        </w:rPr>
        <w:t>.</w:t>
      </w: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5000" w:type="pct"/>
        <w:tblLook w:val="04A0" w:firstRow="1" w:lastRow="0" w:firstColumn="1" w:lastColumn="0" w:noHBand="0" w:noVBand="1"/>
      </w:tblPr>
      <w:tblGrid>
        <w:gridCol w:w="3450"/>
        <w:gridCol w:w="2998"/>
        <w:gridCol w:w="2897"/>
      </w:tblGrid>
      <w:tr w:rsidR="00965DC3" w:rsidTr="00965DC3">
        <w:trPr>
          <w:cantSplit/>
          <w:trHeight w:val="917"/>
        </w:trPr>
        <w:tc>
          <w:tcPr>
            <w:tcW w:w="1846" w:type="pct"/>
            <w:vAlign w:val="center"/>
          </w:tcPr>
          <w:p w:rsidR="00965DC3" w:rsidRPr="00346B1F" w:rsidRDefault="00965DC3"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ответивших</w:t>
            </w:r>
          </w:p>
        </w:tc>
        <w:tc>
          <w:tcPr>
            <w:tcW w:w="1604" w:type="pct"/>
            <w:vAlign w:val="center"/>
          </w:tcPr>
          <w:p w:rsidR="00965DC3" w:rsidRPr="00346B1F" w:rsidRDefault="00965DC3"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Количество удовлетворенных</w:t>
            </w:r>
          </w:p>
        </w:tc>
        <w:tc>
          <w:tcPr>
            <w:tcW w:w="1550" w:type="pct"/>
            <w:vAlign w:val="center"/>
          </w:tcPr>
          <w:p w:rsidR="00965DC3" w:rsidRPr="00346B1F" w:rsidRDefault="00965DC3" w:rsidP="002D52D7">
            <w:pPr>
              <w:pStyle w:val="12"/>
              <w:spacing w:after="0" w:line="240" w:lineRule="auto"/>
              <w:jc w:val="center"/>
              <w:rPr>
                <w:rFonts w:ascii="Times New Roman" w:hAnsi="Times New Roman" w:cs="Times New Roman"/>
                <w:sz w:val="22"/>
                <w:szCs w:val="18"/>
              </w:rPr>
            </w:pPr>
            <w:r w:rsidRPr="00346B1F">
              <w:rPr>
                <w:rFonts w:ascii="Times New Roman" w:hAnsi="Times New Roman" w:cs="Times New Roman"/>
                <w:sz w:val="22"/>
                <w:szCs w:val="18"/>
              </w:rPr>
              <w:t>Итоговый балл</w:t>
            </w:r>
          </w:p>
        </w:tc>
      </w:tr>
      <w:tr w:rsidR="00965DC3" w:rsidTr="00965DC3">
        <w:trPr>
          <w:trHeight w:val="404"/>
        </w:trPr>
        <w:tc>
          <w:tcPr>
            <w:tcW w:w="1846" w:type="pct"/>
            <w:vAlign w:val="center"/>
          </w:tcPr>
          <w:p w:rsidR="00965DC3" w:rsidRPr="002D52D7" w:rsidRDefault="00141DC6" w:rsidP="002D52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604" w:type="pct"/>
            <w:vAlign w:val="center"/>
          </w:tcPr>
          <w:p w:rsidR="00965DC3" w:rsidRPr="002D52D7" w:rsidRDefault="00141DC6" w:rsidP="002D52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550" w:type="pct"/>
            <w:vAlign w:val="center"/>
          </w:tcPr>
          <w:p w:rsidR="00965DC3" w:rsidRPr="00854A58" w:rsidRDefault="00141DC6" w:rsidP="002D52D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87,8</w:t>
            </w:r>
          </w:p>
        </w:tc>
      </w:tr>
    </w:tbl>
    <w:p w:rsidR="00A83639" w:rsidRDefault="00A83639">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D5FEA">
      <w:pPr>
        <w:spacing w:after="160" w:line="259"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E51E09">
      <w:pPr>
        <w:spacing w:after="0" w:line="360" w:lineRule="auto"/>
        <w:ind w:firstLine="709"/>
        <w:jc w:val="both"/>
        <w:rPr>
          <w:rFonts w:ascii="Times New Roman" w:hAnsi="Times New Roman" w:cs="Times New Roman"/>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6</w:t>
      </w:r>
      <w:r>
        <w:rPr>
          <w:rFonts w:ascii="Times New Roman" w:hAnsi="Times New Roman" w:cs="Times New Roman"/>
          <w:sz w:val="28"/>
          <w:szCs w:val="28"/>
        </w:rPr>
        <w:t>.</w:t>
      </w:r>
    </w:p>
    <w:p w:rsidR="00D50AE1" w:rsidRDefault="00D50AE1" w:rsidP="00E51E09">
      <w:pPr>
        <w:spacing w:after="0" w:line="360" w:lineRule="auto"/>
        <w:ind w:firstLine="709"/>
        <w:jc w:val="both"/>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1552"/>
        <w:gridCol w:w="1851"/>
        <w:gridCol w:w="1852"/>
        <w:gridCol w:w="1002"/>
        <w:gridCol w:w="2086"/>
        <w:gridCol w:w="1002"/>
      </w:tblGrid>
      <w:tr w:rsidR="00965DC3" w:rsidRPr="00D214D5" w:rsidTr="00965DC3">
        <w:trPr>
          <w:cantSplit/>
          <w:trHeight w:val="3167"/>
          <w:jc w:val="center"/>
        </w:trPr>
        <w:tc>
          <w:tcPr>
            <w:tcW w:w="830" w:type="pct"/>
            <w:textDirection w:val="btLr"/>
            <w:vAlign w:val="center"/>
          </w:tcPr>
          <w:p w:rsidR="00965DC3" w:rsidRPr="00D214D5" w:rsidRDefault="00965DC3"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w:t>
            </w:r>
            <w:r>
              <w:rPr>
                <w:rFonts w:ascii="Times New Roman" w:hAnsi="Times New Roman" w:cs="Times New Roman"/>
                <w:sz w:val="20"/>
                <w:szCs w:val="20"/>
              </w:rPr>
              <w:t>-</w:t>
            </w:r>
            <w:r w:rsidRPr="00D214D5">
              <w:rPr>
                <w:rFonts w:ascii="Times New Roman" w:hAnsi="Times New Roman" w:cs="Times New Roman"/>
                <w:sz w:val="20"/>
                <w:szCs w:val="20"/>
              </w:rPr>
              <w:t>ми</w:t>
            </w:r>
          </w:p>
        </w:tc>
        <w:tc>
          <w:tcPr>
            <w:tcW w:w="990" w:type="pct"/>
            <w:textDirection w:val="btLr"/>
            <w:vAlign w:val="center"/>
          </w:tcPr>
          <w:p w:rsidR="00965DC3" w:rsidRPr="00D214D5" w:rsidRDefault="00965DC3"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991" w:type="pct"/>
            <w:textDirection w:val="btLr"/>
            <w:vAlign w:val="center"/>
          </w:tcPr>
          <w:p w:rsidR="00965DC3" w:rsidRPr="00D214D5" w:rsidRDefault="00965DC3"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536" w:type="pct"/>
            <w:textDirection w:val="btLr"/>
            <w:vAlign w:val="center"/>
          </w:tcPr>
          <w:p w:rsidR="00965DC3" w:rsidRPr="00D214D5" w:rsidRDefault="00965DC3"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1116" w:type="pct"/>
            <w:textDirection w:val="btLr"/>
            <w:vAlign w:val="center"/>
          </w:tcPr>
          <w:p w:rsidR="00965DC3" w:rsidRPr="00D214D5" w:rsidRDefault="00965DC3"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536" w:type="pct"/>
            <w:textDirection w:val="btLr"/>
            <w:vAlign w:val="center"/>
          </w:tcPr>
          <w:p w:rsidR="00965DC3" w:rsidRPr="00D214D5" w:rsidRDefault="00965DC3" w:rsidP="00D50AE1">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965DC3" w:rsidRPr="00D214D5" w:rsidTr="00965DC3">
        <w:trPr>
          <w:cantSplit/>
          <w:trHeight w:val="491"/>
          <w:jc w:val="center"/>
        </w:trPr>
        <w:tc>
          <w:tcPr>
            <w:tcW w:w="830" w:type="pct"/>
            <w:vAlign w:val="center"/>
          </w:tcPr>
          <w:p w:rsidR="00965DC3" w:rsidRPr="00D214D5" w:rsidRDefault="00A31A6B"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0" w:type="pct"/>
            <w:vAlign w:val="center"/>
          </w:tcPr>
          <w:p w:rsidR="00965DC3" w:rsidRPr="00D214D5" w:rsidRDefault="00A31A6B"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1" w:type="pct"/>
            <w:vAlign w:val="center"/>
          </w:tcPr>
          <w:p w:rsidR="00965DC3" w:rsidRPr="00D214D5" w:rsidRDefault="00A31A6B"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36" w:type="pct"/>
            <w:vAlign w:val="center"/>
          </w:tcPr>
          <w:p w:rsidR="00965DC3" w:rsidRPr="00D214D5" w:rsidRDefault="00A31A6B"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16" w:type="pct"/>
            <w:vAlign w:val="center"/>
          </w:tcPr>
          <w:p w:rsidR="00965DC3" w:rsidRPr="00D214D5" w:rsidRDefault="00A31A6B" w:rsidP="008E1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36" w:type="pct"/>
            <w:vAlign w:val="center"/>
          </w:tcPr>
          <w:p w:rsidR="00965DC3" w:rsidRPr="008E1947" w:rsidRDefault="00A31A6B" w:rsidP="00346B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r>
    </w:tbl>
    <w:p w:rsidR="00E9556A" w:rsidRDefault="00E9556A" w:rsidP="00E51E09">
      <w:pPr>
        <w:spacing w:after="0" w:line="360" w:lineRule="auto"/>
        <w:ind w:firstLine="709"/>
        <w:jc w:val="both"/>
        <w:rPr>
          <w:rFonts w:ascii="Times New Roman" w:hAnsi="Times New Roman" w:cs="Times New Roman"/>
          <w:i/>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w:t>
      </w:r>
      <w:r w:rsidR="008C33A9">
        <w:rPr>
          <w:rFonts w:ascii="Times New Roman" w:hAnsi="Times New Roman" w:cs="Times New Roman"/>
          <w:sz w:val="28"/>
          <w:szCs w:val="28"/>
        </w:rPr>
        <w:t>е баллы представлены в Таблице 7</w:t>
      </w:r>
      <w:r>
        <w:rPr>
          <w:rFonts w:ascii="Times New Roman" w:hAnsi="Times New Roman" w:cs="Times New Roman"/>
          <w:sz w:val="28"/>
          <w:szCs w:val="28"/>
        </w:rPr>
        <w:t>.</w:t>
      </w:r>
    </w:p>
    <w:p w:rsidR="00A6292C" w:rsidRDefault="00A6292C"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8C33A9" w:rsidRDefault="008C33A9" w:rsidP="00D50AE1">
      <w:pPr>
        <w:spacing w:after="0" w:line="240" w:lineRule="auto"/>
        <w:jc w:val="center"/>
        <w:rPr>
          <w:rFonts w:ascii="Times New Roman" w:hAnsi="Times New Roman" w:cs="Times New Roman"/>
          <w:sz w:val="28"/>
          <w:szCs w:val="28"/>
        </w:rPr>
      </w:pPr>
    </w:p>
    <w:p w:rsidR="00E51E09" w:rsidRPr="00A23729" w:rsidRDefault="00E51E09" w:rsidP="00D50AE1">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sidR="008C33A9">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1337"/>
        <w:gridCol w:w="1337"/>
        <w:gridCol w:w="1336"/>
        <w:gridCol w:w="1336"/>
        <w:gridCol w:w="1336"/>
        <w:gridCol w:w="1486"/>
        <w:gridCol w:w="1177"/>
      </w:tblGrid>
      <w:tr w:rsidR="00965DC3" w:rsidRPr="00A05909" w:rsidTr="00965DC3">
        <w:trPr>
          <w:cantSplit/>
          <w:trHeight w:val="4327"/>
          <w:jc w:val="center"/>
        </w:trPr>
        <w:tc>
          <w:tcPr>
            <w:tcW w:w="715" w:type="pct"/>
            <w:textDirection w:val="btLr"/>
            <w:vAlign w:val="center"/>
          </w:tcPr>
          <w:p w:rsidR="00965DC3" w:rsidRPr="00CF560F" w:rsidRDefault="00965DC3"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715" w:type="pct"/>
            <w:textDirection w:val="btLr"/>
            <w:vAlign w:val="center"/>
          </w:tcPr>
          <w:p w:rsidR="00965DC3" w:rsidRPr="00CF560F" w:rsidRDefault="00965DC3"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715" w:type="pct"/>
            <w:textDirection w:val="btLr"/>
            <w:vAlign w:val="center"/>
          </w:tcPr>
          <w:p w:rsidR="00965DC3" w:rsidRPr="00CF560F" w:rsidRDefault="00965DC3"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715" w:type="pct"/>
            <w:textDirection w:val="btLr"/>
            <w:vAlign w:val="center"/>
          </w:tcPr>
          <w:p w:rsidR="00965DC3" w:rsidRPr="00CF560F" w:rsidRDefault="00965DC3"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альтернативной версии сайта организации для инвалидов по зрению</w:t>
            </w:r>
          </w:p>
        </w:tc>
        <w:tc>
          <w:tcPr>
            <w:tcW w:w="715" w:type="pct"/>
            <w:textDirection w:val="btLr"/>
            <w:vAlign w:val="center"/>
          </w:tcPr>
          <w:p w:rsidR="00965DC3" w:rsidRPr="00CF560F" w:rsidRDefault="00965DC3"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795" w:type="pct"/>
            <w:textDirection w:val="btLr"/>
            <w:vAlign w:val="center"/>
          </w:tcPr>
          <w:p w:rsidR="00965DC3" w:rsidRPr="00CF560F" w:rsidRDefault="00965DC3"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630" w:type="pct"/>
            <w:textDirection w:val="btLr"/>
            <w:vAlign w:val="center"/>
          </w:tcPr>
          <w:p w:rsidR="00965DC3" w:rsidRPr="00CF560F" w:rsidRDefault="00965DC3" w:rsidP="00D50AE1">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965DC3" w:rsidRPr="00A05909" w:rsidTr="00965DC3">
        <w:trPr>
          <w:trHeight w:val="417"/>
          <w:jc w:val="center"/>
        </w:trPr>
        <w:tc>
          <w:tcPr>
            <w:tcW w:w="715" w:type="pct"/>
            <w:vAlign w:val="center"/>
          </w:tcPr>
          <w:p w:rsidR="00965DC3" w:rsidRPr="00CF560F" w:rsidRDefault="00A31A6B"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715" w:type="pct"/>
            <w:vAlign w:val="center"/>
          </w:tcPr>
          <w:p w:rsidR="00965DC3" w:rsidRPr="00CF560F" w:rsidRDefault="00A31A6B"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715" w:type="pct"/>
            <w:vAlign w:val="center"/>
          </w:tcPr>
          <w:p w:rsidR="00965DC3" w:rsidRPr="00CF560F" w:rsidRDefault="00A31A6B"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715" w:type="pct"/>
            <w:vAlign w:val="center"/>
          </w:tcPr>
          <w:p w:rsidR="00965DC3" w:rsidRPr="00CF560F" w:rsidRDefault="00287934"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715" w:type="pct"/>
            <w:vAlign w:val="center"/>
          </w:tcPr>
          <w:p w:rsidR="00965DC3" w:rsidRPr="00CF560F" w:rsidRDefault="00A31A6B"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795" w:type="pct"/>
            <w:vAlign w:val="center"/>
          </w:tcPr>
          <w:p w:rsidR="00965DC3" w:rsidRPr="00CF560F" w:rsidRDefault="00A31A6B"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630" w:type="pct"/>
            <w:vAlign w:val="center"/>
          </w:tcPr>
          <w:p w:rsidR="00965DC3" w:rsidRPr="00CF560F" w:rsidRDefault="00287934" w:rsidP="00346B1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00304506">
              <w:rPr>
                <w:rFonts w:ascii="Times New Roman" w:hAnsi="Times New Roman" w:cs="Times New Roman"/>
                <w:b/>
                <w:sz w:val="18"/>
                <w:szCs w:val="18"/>
              </w:rPr>
              <w:t>0</w:t>
            </w:r>
          </w:p>
        </w:tc>
      </w:tr>
    </w:tbl>
    <w:p w:rsidR="00E9556A" w:rsidRDefault="00E9556A" w:rsidP="00E51E09">
      <w:pPr>
        <w:spacing w:after="0" w:line="360" w:lineRule="auto"/>
        <w:ind w:firstLine="709"/>
        <w:jc w:val="both"/>
        <w:rPr>
          <w:rFonts w:ascii="Times New Roman" w:hAnsi="Times New Roman" w:cs="Times New Roman"/>
          <w:i/>
          <w:sz w:val="28"/>
          <w:szCs w:val="28"/>
        </w:rPr>
      </w:pPr>
    </w:p>
    <w:p w:rsidR="00E51E09" w:rsidRPr="003D5FEA" w:rsidRDefault="00E51E09" w:rsidP="00E51E09">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461AB0" w:rsidRDefault="00E51E09" w:rsidP="00E51E09">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61AB0">
        <w:rPr>
          <w:rFonts w:ascii="Times New Roman" w:hAnsi="Times New Roman" w:cs="Times New Roman"/>
          <w:sz w:val="28"/>
          <w:szCs w:val="28"/>
        </w:rPr>
        <w:t xml:space="preserve"> </w:t>
      </w:r>
      <w:r w:rsidR="008C33A9">
        <w:rPr>
          <w:rFonts w:ascii="Times New Roman" w:hAnsi="Times New Roman" w:cs="Times New Roman"/>
          <w:sz w:val="28"/>
          <w:szCs w:val="28"/>
        </w:rPr>
        <w:t>8</w:t>
      </w:r>
      <w:r w:rsidRPr="00461AB0">
        <w:rPr>
          <w:rFonts w:ascii="Times New Roman" w:hAnsi="Times New Roman" w:cs="Times New Roman"/>
          <w:sz w:val="28"/>
          <w:szCs w:val="28"/>
        </w:rPr>
        <w:t>.</w:t>
      </w:r>
    </w:p>
    <w:p w:rsidR="003D5FEA" w:rsidRDefault="003D5FEA"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8C33A9">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5000" w:type="pct"/>
        <w:jc w:val="center"/>
        <w:tblLook w:val="04A0" w:firstRow="1" w:lastRow="0" w:firstColumn="1" w:lastColumn="0" w:noHBand="0" w:noVBand="1"/>
      </w:tblPr>
      <w:tblGrid>
        <w:gridCol w:w="3117"/>
        <w:gridCol w:w="3116"/>
        <w:gridCol w:w="3112"/>
      </w:tblGrid>
      <w:tr w:rsidR="00965DC3" w:rsidRPr="00A2764F" w:rsidTr="00965DC3">
        <w:trPr>
          <w:cantSplit/>
          <w:trHeight w:val="1186"/>
          <w:jc w:val="center"/>
        </w:trPr>
        <w:tc>
          <w:tcPr>
            <w:tcW w:w="1668" w:type="pct"/>
            <w:vAlign w:val="center"/>
          </w:tcPr>
          <w:p w:rsidR="00965DC3" w:rsidRPr="00A2764F" w:rsidRDefault="00965DC3"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ответивших</w:t>
            </w:r>
          </w:p>
        </w:tc>
        <w:tc>
          <w:tcPr>
            <w:tcW w:w="1667" w:type="pct"/>
            <w:vAlign w:val="center"/>
          </w:tcPr>
          <w:p w:rsidR="00965DC3" w:rsidRPr="00A2764F" w:rsidRDefault="00965DC3"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Количество удовлетворенных</w:t>
            </w:r>
          </w:p>
        </w:tc>
        <w:tc>
          <w:tcPr>
            <w:tcW w:w="1666" w:type="pct"/>
            <w:vAlign w:val="center"/>
          </w:tcPr>
          <w:p w:rsidR="00965DC3" w:rsidRPr="00A2764F" w:rsidRDefault="00965DC3" w:rsidP="008C33A9">
            <w:pPr>
              <w:spacing w:after="0" w:line="240" w:lineRule="auto"/>
              <w:jc w:val="center"/>
              <w:rPr>
                <w:rFonts w:ascii="Times New Roman" w:hAnsi="Times New Roman" w:cs="Times New Roman"/>
                <w:sz w:val="24"/>
                <w:szCs w:val="28"/>
              </w:rPr>
            </w:pPr>
            <w:r w:rsidRPr="00A2764F">
              <w:rPr>
                <w:rFonts w:ascii="Times New Roman" w:hAnsi="Times New Roman" w:cs="Times New Roman"/>
                <w:sz w:val="24"/>
                <w:szCs w:val="28"/>
              </w:rPr>
              <w:t>Итоговый балл</w:t>
            </w:r>
          </w:p>
        </w:tc>
      </w:tr>
      <w:tr w:rsidR="00965DC3" w:rsidRPr="00A2764F" w:rsidTr="00965DC3">
        <w:trPr>
          <w:jc w:val="center"/>
        </w:trPr>
        <w:tc>
          <w:tcPr>
            <w:tcW w:w="1668" w:type="pct"/>
            <w:vAlign w:val="center"/>
          </w:tcPr>
          <w:p w:rsidR="00965DC3" w:rsidRPr="00A2764F" w:rsidRDefault="00141DC6" w:rsidP="00A2764F">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3</w:t>
            </w:r>
          </w:p>
        </w:tc>
        <w:tc>
          <w:tcPr>
            <w:tcW w:w="1667" w:type="pct"/>
            <w:vAlign w:val="center"/>
          </w:tcPr>
          <w:p w:rsidR="00965DC3" w:rsidRPr="00A2764F" w:rsidRDefault="00141DC6" w:rsidP="00A2764F">
            <w:pPr>
              <w:spacing w:after="0" w:line="240" w:lineRule="auto"/>
              <w:jc w:val="center"/>
              <w:rPr>
                <w:rFonts w:ascii="Times New Roman" w:hAnsi="Times New Roman" w:cs="Times New Roman"/>
                <w:color w:val="000000"/>
                <w:sz w:val="24"/>
                <w:szCs w:val="20"/>
              </w:rPr>
            </w:pPr>
            <w:r>
              <w:rPr>
                <w:rFonts w:ascii="Times New Roman" w:hAnsi="Times New Roman" w:cs="Times New Roman"/>
                <w:color w:val="000000"/>
                <w:sz w:val="24"/>
                <w:szCs w:val="20"/>
              </w:rPr>
              <w:t>3</w:t>
            </w:r>
          </w:p>
        </w:tc>
        <w:tc>
          <w:tcPr>
            <w:tcW w:w="1666" w:type="pct"/>
            <w:vAlign w:val="center"/>
          </w:tcPr>
          <w:p w:rsidR="00965DC3" w:rsidRPr="00A2764F" w:rsidRDefault="00141DC6" w:rsidP="00A2764F">
            <w:pPr>
              <w:spacing w:after="0" w:line="240" w:lineRule="auto"/>
              <w:jc w:val="center"/>
              <w:rPr>
                <w:rFonts w:ascii="Times New Roman" w:hAnsi="Times New Roman" w:cs="Times New Roman"/>
                <w:b/>
                <w:color w:val="000000"/>
                <w:sz w:val="24"/>
                <w:szCs w:val="20"/>
              </w:rPr>
            </w:pPr>
            <w:r>
              <w:rPr>
                <w:rFonts w:ascii="Times New Roman" w:hAnsi="Times New Roman" w:cs="Times New Roman"/>
                <w:b/>
                <w:color w:val="000000"/>
                <w:sz w:val="24"/>
                <w:szCs w:val="20"/>
              </w:rPr>
              <w:t>100</w:t>
            </w:r>
          </w:p>
        </w:tc>
      </w:tr>
    </w:tbl>
    <w:p w:rsidR="00B32E26" w:rsidRDefault="00B32E26" w:rsidP="00E51E09"/>
    <w:p w:rsidR="00B32E26" w:rsidRDefault="00B32E26">
      <w:pPr>
        <w:spacing w:after="160" w:line="259" w:lineRule="auto"/>
      </w:pPr>
      <w:r>
        <w:br w:type="page"/>
      </w:r>
    </w:p>
    <w:p w:rsidR="00E51E09" w:rsidRPr="00166C06" w:rsidRDefault="00E51E09" w:rsidP="004312BC">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w:t>
      </w:r>
      <w:r w:rsidR="00FB5E3D">
        <w:rPr>
          <w:rFonts w:ascii="Times New Roman" w:hAnsi="Times New Roman" w:cs="Times New Roman"/>
          <w:sz w:val="28"/>
          <w:szCs w:val="28"/>
        </w:rPr>
        <w:t>ритерию представлены в Таблице 9</w:t>
      </w:r>
      <w:r>
        <w:rPr>
          <w:rFonts w:ascii="Times New Roman" w:hAnsi="Times New Roman" w:cs="Times New Roman"/>
          <w:sz w:val="28"/>
          <w:szCs w:val="28"/>
        </w:rPr>
        <w:t>.</w:t>
      </w:r>
    </w:p>
    <w:p w:rsidR="00E51E09" w:rsidRDefault="00E51E09" w:rsidP="00CA1C88">
      <w:pPr>
        <w:spacing w:after="0" w:line="240" w:lineRule="auto"/>
        <w:ind w:firstLine="709"/>
        <w:jc w:val="both"/>
        <w:rPr>
          <w:rFonts w:ascii="Times New Roman" w:hAnsi="Times New Roman" w:cs="Times New Roman"/>
          <w:sz w:val="28"/>
          <w:szCs w:val="28"/>
        </w:rPr>
      </w:pPr>
    </w:p>
    <w:p w:rsidR="00E51E09" w:rsidRPr="00A23729" w:rsidRDefault="00E51E09" w:rsidP="00CA1C88">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5000" w:type="pct"/>
        <w:jc w:val="center"/>
        <w:tblLook w:val="04A0" w:firstRow="1" w:lastRow="0" w:firstColumn="1" w:lastColumn="0" w:noHBand="0" w:noVBand="1"/>
      </w:tblPr>
      <w:tblGrid>
        <w:gridCol w:w="2869"/>
        <w:gridCol w:w="4009"/>
        <w:gridCol w:w="2467"/>
      </w:tblGrid>
      <w:tr w:rsidR="00965DC3" w:rsidRPr="00DB7249" w:rsidTr="00965DC3">
        <w:trPr>
          <w:jc w:val="center"/>
        </w:trPr>
        <w:tc>
          <w:tcPr>
            <w:tcW w:w="1535" w:type="pct"/>
            <w:vAlign w:val="center"/>
          </w:tcPr>
          <w:p w:rsidR="00965DC3" w:rsidRPr="00DB7249" w:rsidRDefault="00965DC3" w:rsidP="00CA1C88">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2145" w:type="pct"/>
          </w:tcPr>
          <w:p w:rsidR="00965DC3" w:rsidRPr="00DB7249" w:rsidRDefault="00965DC3" w:rsidP="00CA1C88">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1320" w:type="pct"/>
          </w:tcPr>
          <w:p w:rsidR="00965DC3" w:rsidRPr="00DB7249" w:rsidRDefault="00965DC3" w:rsidP="00CA1C88">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965DC3" w:rsidRPr="00DB7249" w:rsidTr="00965DC3">
        <w:trPr>
          <w:jc w:val="center"/>
        </w:trPr>
        <w:tc>
          <w:tcPr>
            <w:tcW w:w="1535" w:type="pct"/>
            <w:vAlign w:val="center"/>
          </w:tcPr>
          <w:p w:rsidR="00965DC3" w:rsidRPr="00DB7249" w:rsidRDefault="004960D1" w:rsidP="00CA1C88">
            <w:pPr>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c>
          <w:tcPr>
            <w:tcW w:w="2145" w:type="pct"/>
            <w:vAlign w:val="center"/>
          </w:tcPr>
          <w:p w:rsidR="00965DC3" w:rsidRPr="00DB7249" w:rsidRDefault="004960D1" w:rsidP="00CA1C88">
            <w:pPr>
              <w:spacing w:after="0" w:line="240" w:lineRule="auto"/>
              <w:jc w:val="center"/>
              <w:rPr>
                <w:rFonts w:ascii="Times New Roman" w:hAnsi="Times New Roman" w:cs="Times New Roman"/>
                <w:color w:val="000000"/>
              </w:rPr>
            </w:pPr>
            <w:r>
              <w:rPr>
                <w:rFonts w:ascii="Times New Roman" w:hAnsi="Times New Roman" w:cs="Times New Roman"/>
                <w:color w:val="000000"/>
              </w:rPr>
              <w:t>42</w:t>
            </w:r>
          </w:p>
        </w:tc>
        <w:tc>
          <w:tcPr>
            <w:tcW w:w="1320" w:type="pct"/>
            <w:vAlign w:val="center"/>
          </w:tcPr>
          <w:p w:rsidR="00965DC3" w:rsidRPr="00DB7249" w:rsidRDefault="004960D1" w:rsidP="00CA1C88">
            <w:pPr>
              <w:spacing w:after="0" w:line="240" w:lineRule="auto"/>
              <w:jc w:val="center"/>
              <w:rPr>
                <w:rFonts w:ascii="Times New Roman" w:hAnsi="Times New Roman" w:cs="Times New Roman"/>
                <w:b/>
                <w:color w:val="000000"/>
              </w:rPr>
            </w:pPr>
            <w:r>
              <w:rPr>
                <w:rFonts w:ascii="Times New Roman" w:hAnsi="Times New Roman" w:cs="Times New Roman"/>
                <w:b/>
                <w:color w:val="000000"/>
              </w:rPr>
              <w:t>85,7</w:t>
            </w:r>
          </w:p>
        </w:tc>
      </w:tr>
    </w:tbl>
    <w:p w:rsidR="00E51E09" w:rsidRDefault="00E51E09"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w:t>
      </w:r>
      <w:r w:rsidR="00FB5E3D">
        <w:rPr>
          <w:rFonts w:ascii="Times New Roman" w:hAnsi="Times New Roman" w:cs="Times New Roman"/>
          <w:sz w:val="28"/>
          <w:szCs w:val="28"/>
        </w:rPr>
        <w:t>0</w:t>
      </w:r>
      <w:r>
        <w:rPr>
          <w:rFonts w:ascii="Times New Roman" w:hAnsi="Times New Roman" w:cs="Times New Roman"/>
          <w:sz w:val="28"/>
          <w:szCs w:val="28"/>
        </w:rPr>
        <w:t>.</w:t>
      </w:r>
    </w:p>
    <w:p w:rsidR="00E134FA" w:rsidRDefault="00E134FA" w:rsidP="00E51E09">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w:t>
      </w:r>
      <w:r w:rsidR="00FB5E3D">
        <w:rPr>
          <w:rFonts w:ascii="Times New Roman" w:hAnsi="Times New Roman" w:cs="Times New Roman"/>
          <w:sz w:val="28"/>
          <w:szCs w:val="28"/>
        </w:rPr>
        <w:t>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5000" w:type="pct"/>
        <w:jc w:val="center"/>
        <w:tblLook w:val="04A0" w:firstRow="1" w:lastRow="0" w:firstColumn="1" w:lastColumn="0" w:noHBand="0" w:noVBand="1"/>
      </w:tblPr>
      <w:tblGrid>
        <w:gridCol w:w="2869"/>
        <w:gridCol w:w="4009"/>
        <w:gridCol w:w="2467"/>
      </w:tblGrid>
      <w:tr w:rsidR="00965DC3" w:rsidRPr="00DB7249" w:rsidTr="00B03669">
        <w:trPr>
          <w:jc w:val="center"/>
        </w:trPr>
        <w:tc>
          <w:tcPr>
            <w:tcW w:w="1535" w:type="pct"/>
            <w:vAlign w:val="center"/>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2145"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1320"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965DC3" w:rsidRPr="00DB7249" w:rsidTr="00B03669">
        <w:trPr>
          <w:jc w:val="center"/>
        </w:trPr>
        <w:tc>
          <w:tcPr>
            <w:tcW w:w="1535" w:type="pct"/>
            <w:vAlign w:val="center"/>
          </w:tcPr>
          <w:p w:rsidR="00965DC3" w:rsidRPr="00DB7249" w:rsidRDefault="004960D1"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c>
          <w:tcPr>
            <w:tcW w:w="2145" w:type="pct"/>
            <w:vAlign w:val="center"/>
          </w:tcPr>
          <w:p w:rsidR="00965DC3" w:rsidRPr="00DB7249" w:rsidRDefault="004960D1"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47</w:t>
            </w:r>
          </w:p>
        </w:tc>
        <w:tc>
          <w:tcPr>
            <w:tcW w:w="1320" w:type="pct"/>
            <w:vAlign w:val="center"/>
          </w:tcPr>
          <w:p w:rsidR="00965DC3" w:rsidRPr="00DB7249" w:rsidRDefault="004960D1" w:rsidP="00B03669">
            <w:pPr>
              <w:spacing w:after="0" w:line="240" w:lineRule="auto"/>
              <w:jc w:val="center"/>
              <w:rPr>
                <w:rFonts w:ascii="Times New Roman" w:hAnsi="Times New Roman" w:cs="Times New Roman"/>
                <w:b/>
                <w:color w:val="000000"/>
              </w:rPr>
            </w:pPr>
            <w:r>
              <w:rPr>
                <w:rFonts w:ascii="Times New Roman" w:hAnsi="Times New Roman" w:cs="Times New Roman"/>
                <w:b/>
                <w:color w:val="000000"/>
              </w:rPr>
              <w:t>95,9</w:t>
            </w:r>
          </w:p>
        </w:tc>
      </w:tr>
    </w:tbl>
    <w:p w:rsidR="00E51E09" w:rsidRDefault="00E51E09" w:rsidP="00E51E09"/>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E134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w:t>
      </w:r>
      <w:r w:rsidR="00FB5E3D">
        <w:rPr>
          <w:rFonts w:ascii="Times New Roman" w:hAnsi="Times New Roman" w:cs="Times New Roman"/>
          <w:sz w:val="28"/>
          <w:szCs w:val="28"/>
        </w:rPr>
        <w:t>1</w:t>
      </w:r>
      <w:r w:rsidRPr="00285944">
        <w:rPr>
          <w:rFonts w:ascii="Times New Roman" w:hAnsi="Times New Roman" w:cs="Times New Roman"/>
          <w:sz w:val="28"/>
          <w:szCs w:val="28"/>
        </w:rPr>
        <w:t>.</w:t>
      </w:r>
    </w:p>
    <w:p w:rsidR="00E134FA" w:rsidRDefault="00E134FA" w:rsidP="00E134FA">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5000" w:type="pct"/>
        <w:jc w:val="center"/>
        <w:tblLook w:val="04A0" w:firstRow="1" w:lastRow="0" w:firstColumn="1" w:lastColumn="0" w:noHBand="0" w:noVBand="1"/>
      </w:tblPr>
      <w:tblGrid>
        <w:gridCol w:w="2869"/>
        <w:gridCol w:w="4009"/>
        <w:gridCol w:w="2467"/>
      </w:tblGrid>
      <w:tr w:rsidR="00965DC3" w:rsidRPr="00DB7249" w:rsidTr="00B03669">
        <w:trPr>
          <w:jc w:val="center"/>
        </w:trPr>
        <w:tc>
          <w:tcPr>
            <w:tcW w:w="1535" w:type="pct"/>
            <w:vAlign w:val="center"/>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2145"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1320"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965DC3" w:rsidRPr="00DB7249" w:rsidTr="00B03669">
        <w:trPr>
          <w:jc w:val="center"/>
        </w:trPr>
        <w:tc>
          <w:tcPr>
            <w:tcW w:w="1535" w:type="pct"/>
            <w:vAlign w:val="center"/>
          </w:tcPr>
          <w:p w:rsidR="00965DC3" w:rsidRPr="00DB7249" w:rsidRDefault="004960D1"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2145" w:type="pct"/>
            <w:vAlign w:val="center"/>
          </w:tcPr>
          <w:p w:rsidR="00965DC3" w:rsidRPr="00DB7249" w:rsidRDefault="004960D1"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1320" w:type="pct"/>
            <w:vAlign w:val="center"/>
          </w:tcPr>
          <w:p w:rsidR="00965DC3" w:rsidRPr="00DB7249" w:rsidRDefault="004960D1" w:rsidP="00B03669">
            <w:pPr>
              <w:spacing w:after="0" w:line="240" w:lineRule="auto"/>
              <w:jc w:val="center"/>
              <w:rPr>
                <w:rFonts w:ascii="Times New Roman" w:hAnsi="Times New Roman" w:cs="Times New Roman"/>
                <w:b/>
                <w:color w:val="000000"/>
              </w:rPr>
            </w:pPr>
            <w:r>
              <w:rPr>
                <w:rFonts w:ascii="Times New Roman" w:hAnsi="Times New Roman" w:cs="Times New Roman"/>
                <w:b/>
                <w:color w:val="000000"/>
              </w:rPr>
              <w:t>100</w:t>
            </w:r>
          </w:p>
        </w:tc>
      </w:tr>
    </w:tbl>
    <w:p w:rsidR="00B32E26" w:rsidRPr="00C403E8" w:rsidRDefault="00B32E26" w:rsidP="00E51E09">
      <w:pPr>
        <w:spacing w:after="0" w:line="360" w:lineRule="auto"/>
        <w:ind w:firstLine="708"/>
        <w:jc w:val="both"/>
        <w:rPr>
          <w:rFonts w:ascii="Times New Roman" w:hAnsi="Times New Roman" w:cs="Times New Roman"/>
          <w:sz w:val="28"/>
          <w:szCs w:val="28"/>
        </w:rPr>
      </w:pPr>
    </w:p>
    <w:p w:rsidR="00B32E26" w:rsidRDefault="00B32E2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4547E1" w:rsidRDefault="00E51E09" w:rsidP="004312B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5. Показатели, характеризующие удовлетворенность условиями оказания услуг</w:t>
      </w:r>
      <w:r>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4312BC" w:rsidRDefault="00E51E09" w:rsidP="00E51E09">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w:t>
      </w:r>
      <w:r w:rsidR="00FB5E3D">
        <w:rPr>
          <w:rFonts w:ascii="Times New Roman" w:hAnsi="Times New Roman" w:cs="Times New Roman"/>
          <w:sz w:val="28"/>
          <w:szCs w:val="28"/>
        </w:rPr>
        <w:t>итерию представлены в Таблице 12</w:t>
      </w:r>
      <w:r w:rsidRPr="00285944">
        <w:rPr>
          <w:rFonts w:ascii="Times New Roman" w:hAnsi="Times New Roman" w:cs="Times New Roman"/>
          <w:sz w:val="28"/>
          <w:szCs w:val="28"/>
        </w:rPr>
        <w:t>.</w:t>
      </w:r>
    </w:p>
    <w:p w:rsidR="004312BC" w:rsidRDefault="004312BC" w:rsidP="00E51E09">
      <w:pPr>
        <w:spacing w:after="0" w:line="360" w:lineRule="auto"/>
        <w:ind w:firstLine="709"/>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5000" w:type="pct"/>
        <w:jc w:val="center"/>
        <w:tblLook w:val="04A0" w:firstRow="1" w:lastRow="0" w:firstColumn="1" w:lastColumn="0" w:noHBand="0" w:noVBand="1"/>
      </w:tblPr>
      <w:tblGrid>
        <w:gridCol w:w="2869"/>
        <w:gridCol w:w="4009"/>
        <w:gridCol w:w="2467"/>
      </w:tblGrid>
      <w:tr w:rsidR="00965DC3" w:rsidRPr="00DB7249" w:rsidTr="00B03669">
        <w:trPr>
          <w:jc w:val="center"/>
        </w:trPr>
        <w:tc>
          <w:tcPr>
            <w:tcW w:w="1535" w:type="pct"/>
            <w:vAlign w:val="center"/>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2145"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1320"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965DC3" w:rsidRPr="00DB7249" w:rsidTr="00B03669">
        <w:trPr>
          <w:jc w:val="center"/>
        </w:trPr>
        <w:tc>
          <w:tcPr>
            <w:tcW w:w="1535" w:type="pct"/>
            <w:vAlign w:val="center"/>
          </w:tcPr>
          <w:p w:rsidR="00965DC3" w:rsidRPr="00DB7249" w:rsidRDefault="00D30364"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c>
          <w:tcPr>
            <w:tcW w:w="2145" w:type="pct"/>
            <w:vAlign w:val="center"/>
          </w:tcPr>
          <w:p w:rsidR="00965DC3" w:rsidRPr="00DB7249" w:rsidRDefault="00D30364"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36</w:t>
            </w:r>
          </w:p>
        </w:tc>
        <w:tc>
          <w:tcPr>
            <w:tcW w:w="1320" w:type="pct"/>
            <w:vAlign w:val="center"/>
          </w:tcPr>
          <w:p w:rsidR="00965DC3" w:rsidRPr="00DB7249" w:rsidRDefault="00D30364" w:rsidP="00B03669">
            <w:pPr>
              <w:spacing w:after="0" w:line="240" w:lineRule="auto"/>
              <w:jc w:val="center"/>
              <w:rPr>
                <w:rFonts w:ascii="Times New Roman" w:hAnsi="Times New Roman" w:cs="Times New Roman"/>
                <w:b/>
                <w:color w:val="000000"/>
              </w:rPr>
            </w:pPr>
            <w:r>
              <w:rPr>
                <w:rFonts w:ascii="Times New Roman" w:hAnsi="Times New Roman" w:cs="Times New Roman"/>
                <w:b/>
                <w:color w:val="000000"/>
              </w:rPr>
              <w:t>73,5</w:t>
            </w:r>
          </w:p>
        </w:tc>
      </w:tr>
    </w:tbl>
    <w:p w:rsidR="004312BC" w:rsidRDefault="004312BC"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E51E09" w:rsidRDefault="00E51E09" w:rsidP="00E51E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w:t>
      </w:r>
      <w:r w:rsidR="00FB5E3D">
        <w:rPr>
          <w:rFonts w:ascii="Times New Roman" w:hAnsi="Times New Roman" w:cs="Times New Roman"/>
          <w:sz w:val="28"/>
          <w:szCs w:val="28"/>
        </w:rPr>
        <w:t>итерию представлены в Таблице 13</w:t>
      </w:r>
      <w:r>
        <w:rPr>
          <w:rFonts w:ascii="Times New Roman" w:hAnsi="Times New Roman" w:cs="Times New Roman"/>
          <w:sz w:val="28"/>
          <w:szCs w:val="28"/>
        </w:rPr>
        <w:t>.</w:t>
      </w:r>
    </w:p>
    <w:p w:rsidR="00B32E26" w:rsidRDefault="00B32E26" w:rsidP="00B32E26">
      <w:pPr>
        <w:spacing w:after="0" w:line="360" w:lineRule="auto"/>
        <w:ind w:firstLine="708"/>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sidR="00FB5E3D">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5000" w:type="pct"/>
        <w:jc w:val="center"/>
        <w:tblLook w:val="04A0" w:firstRow="1" w:lastRow="0" w:firstColumn="1" w:lastColumn="0" w:noHBand="0" w:noVBand="1"/>
      </w:tblPr>
      <w:tblGrid>
        <w:gridCol w:w="2869"/>
        <w:gridCol w:w="4009"/>
        <w:gridCol w:w="2467"/>
      </w:tblGrid>
      <w:tr w:rsidR="00965DC3" w:rsidRPr="00DB7249" w:rsidTr="00B03669">
        <w:trPr>
          <w:jc w:val="center"/>
        </w:trPr>
        <w:tc>
          <w:tcPr>
            <w:tcW w:w="1535" w:type="pct"/>
            <w:vAlign w:val="center"/>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2145"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1320"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965DC3" w:rsidRPr="00DB7249" w:rsidTr="00B03669">
        <w:trPr>
          <w:jc w:val="center"/>
        </w:trPr>
        <w:tc>
          <w:tcPr>
            <w:tcW w:w="1535" w:type="pct"/>
            <w:vAlign w:val="center"/>
          </w:tcPr>
          <w:p w:rsidR="00965DC3" w:rsidRPr="00DB7249" w:rsidRDefault="00D30364"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c>
          <w:tcPr>
            <w:tcW w:w="2145" w:type="pct"/>
            <w:vAlign w:val="center"/>
          </w:tcPr>
          <w:p w:rsidR="00965DC3" w:rsidRPr="00DB7249" w:rsidRDefault="00D30364"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1320" w:type="pct"/>
            <w:vAlign w:val="center"/>
          </w:tcPr>
          <w:p w:rsidR="00965DC3" w:rsidRPr="00DB7249" w:rsidRDefault="00D30364" w:rsidP="00B03669">
            <w:pPr>
              <w:spacing w:after="0" w:line="240" w:lineRule="auto"/>
              <w:jc w:val="center"/>
              <w:rPr>
                <w:rFonts w:ascii="Times New Roman" w:hAnsi="Times New Roman" w:cs="Times New Roman"/>
                <w:b/>
                <w:color w:val="000000"/>
              </w:rPr>
            </w:pPr>
            <w:r>
              <w:rPr>
                <w:rFonts w:ascii="Times New Roman" w:hAnsi="Times New Roman" w:cs="Times New Roman"/>
                <w:b/>
                <w:color w:val="000000"/>
              </w:rPr>
              <w:t>77,6</w:t>
            </w:r>
          </w:p>
        </w:tc>
      </w:tr>
    </w:tbl>
    <w:p w:rsidR="004312BC" w:rsidRDefault="004312BC" w:rsidP="00E51E09">
      <w:pPr>
        <w:spacing w:after="0" w:line="360" w:lineRule="auto"/>
        <w:ind w:firstLine="708"/>
        <w:jc w:val="both"/>
        <w:rPr>
          <w:rFonts w:ascii="Times New Roman" w:hAnsi="Times New Roman" w:cs="Times New Roman"/>
          <w:sz w:val="28"/>
          <w:szCs w:val="28"/>
        </w:rPr>
      </w:pPr>
    </w:p>
    <w:p w:rsidR="00E51E09" w:rsidRPr="004312BC" w:rsidRDefault="00E51E09" w:rsidP="00E51E09">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E51E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w:t>
      </w:r>
      <w:r w:rsidR="00FB5E3D">
        <w:rPr>
          <w:rFonts w:ascii="Times New Roman" w:hAnsi="Times New Roman" w:cs="Times New Roman"/>
          <w:sz w:val="28"/>
          <w:szCs w:val="28"/>
        </w:rPr>
        <w:t>4</w:t>
      </w:r>
      <w:r>
        <w:rPr>
          <w:rFonts w:ascii="Times New Roman" w:hAnsi="Times New Roman" w:cs="Times New Roman"/>
          <w:sz w:val="28"/>
          <w:szCs w:val="28"/>
        </w:rPr>
        <w:t>.</w:t>
      </w:r>
    </w:p>
    <w:p w:rsidR="00E51E09" w:rsidRDefault="00E51E09" w:rsidP="00E51E09">
      <w:pPr>
        <w:spacing w:after="0" w:line="360" w:lineRule="auto"/>
        <w:jc w:val="both"/>
        <w:rPr>
          <w:rFonts w:ascii="Times New Roman" w:hAnsi="Times New Roman" w:cs="Times New Roman"/>
          <w:sz w:val="28"/>
          <w:szCs w:val="28"/>
        </w:rPr>
      </w:pPr>
    </w:p>
    <w:p w:rsidR="00E51E09" w:rsidRPr="00A23729" w:rsidRDefault="00E51E09" w:rsidP="00E51E09">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w:t>
      </w:r>
      <w:r w:rsidR="00FB5E3D">
        <w:rPr>
          <w:rFonts w:ascii="Times New Roman" w:hAnsi="Times New Roman" w:cs="Times New Roman"/>
          <w:sz w:val="28"/>
          <w:szCs w:val="28"/>
        </w:rPr>
        <w:t>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5000" w:type="pct"/>
        <w:jc w:val="center"/>
        <w:tblLook w:val="04A0" w:firstRow="1" w:lastRow="0" w:firstColumn="1" w:lastColumn="0" w:noHBand="0" w:noVBand="1"/>
      </w:tblPr>
      <w:tblGrid>
        <w:gridCol w:w="2869"/>
        <w:gridCol w:w="4009"/>
        <w:gridCol w:w="2467"/>
      </w:tblGrid>
      <w:tr w:rsidR="00965DC3" w:rsidRPr="00DB7249" w:rsidTr="00B03669">
        <w:trPr>
          <w:jc w:val="center"/>
        </w:trPr>
        <w:tc>
          <w:tcPr>
            <w:tcW w:w="1535" w:type="pct"/>
            <w:vAlign w:val="center"/>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ответивших</w:t>
            </w:r>
          </w:p>
        </w:tc>
        <w:tc>
          <w:tcPr>
            <w:tcW w:w="2145"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Количество удовлетворенных</w:t>
            </w:r>
          </w:p>
        </w:tc>
        <w:tc>
          <w:tcPr>
            <w:tcW w:w="1320" w:type="pct"/>
          </w:tcPr>
          <w:p w:rsidR="00965DC3" w:rsidRPr="00DB7249" w:rsidRDefault="00965DC3" w:rsidP="00B03669">
            <w:pPr>
              <w:spacing w:line="240" w:lineRule="auto"/>
              <w:jc w:val="center"/>
              <w:rPr>
                <w:rFonts w:ascii="Times New Roman" w:hAnsi="Times New Roman" w:cs="Times New Roman"/>
              </w:rPr>
            </w:pPr>
            <w:r w:rsidRPr="00DB7249">
              <w:rPr>
                <w:rFonts w:ascii="Times New Roman" w:hAnsi="Times New Roman" w:cs="Times New Roman"/>
              </w:rPr>
              <w:t>Итоговый балл</w:t>
            </w:r>
          </w:p>
        </w:tc>
      </w:tr>
      <w:tr w:rsidR="00965DC3" w:rsidRPr="00DB7249" w:rsidTr="00B03669">
        <w:trPr>
          <w:jc w:val="center"/>
        </w:trPr>
        <w:tc>
          <w:tcPr>
            <w:tcW w:w="1535" w:type="pct"/>
            <w:vAlign w:val="center"/>
          </w:tcPr>
          <w:p w:rsidR="00965DC3" w:rsidRPr="00DB7249" w:rsidRDefault="00D30364"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49</w:t>
            </w:r>
          </w:p>
        </w:tc>
        <w:tc>
          <w:tcPr>
            <w:tcW w:w="2145" w:type="pct"/>
            <w:vAlign w:val="center"/>
          </w:tcPr>
          <w:p w:rsidR="00965DC3" w:rsidRPr="00DB7249" w:rsidRDefault="00D30364" w:rsidP="00B03669">
            <w:pPr>
              <w:spacing w:after="0" w:line="240" w:lineRule="auto"/>
              <w:jc w:val="center"/>
              <w:rPr>
                <w:rFonts w:ascii="Times New Roman" w:hAnsi="Times New Roman" w:cs="Times New Roman"/>
                <w:color w:val="000000"/>
              </w:rPr>
            </w:pPr>
            <w:r>
              <w:rPr>
                <w:rFonts w:ascii="Times New Roman" w:hAnsi="Times New Roman" w:cs="Times New Roman"/>
                <w:color w:val="000000"/>
              </w:rPr>
              <w:t>45</w:t>
            </w:r>
          </w:p>
        </w:tc>
        <w:tc>
          <w:tcPr>
            <w:tcW w:w="1320" w:type="pct"/>
            <w:vAlign w:val="center"/>
          </w:tcPr>
          <w:p w:rsidR="00965DC3" w:rsidRPr="00DB7249" w:rsidRDefault="00D30364" w:rsidP="00B03669">
            <w:pPr>
              <w:spacing w:after="0" w:line="240" w:lineRule="auto"/>
              <w:jc w:val="center"/>
              <w:rPr>
                <w:rFonts w:ascii="Times New Roman" w:hAnsi="Times New Roman" w:cs="Times New Roman"/>
                <w:b/>
                <w:color w:val="000000"/>
              </w:rPr>
            </w:pPr>
            <w:r>
              <w:rPr>
                <w:rFonts w:ascii="Times New Roman" w:hAnsi="Times New Roman" w:cs="Times New Roman"/>
                <w:b/>
                <w:color w:val="000000"/>
              </w:rPr>
              <w:t>91,8</w:t>
            </w:r>
          </w:p>
        </w:tc>
      </w:tr>
    </w:tbl>
    <w:p w:rsidR="00776398" w:rsidRDefault="00776398">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776398">
      <w:pPr>
        <w:pStyle w:val="2"/>
      </w:pPr>
      <w:bookmarkStart w:id="2" w:name="_Toc39664904"/>
      <w:r>
        <w:lastRenderedPageBreak/>
        <w:t>Перечень выявленных недостатков по результатам независимой оценки</w:t>
      </w:r>
      <w:bookmarkEnd w:id="2"/>
    </w:p>
    <w:p w:rsidR="00776398" w:rsidRDefault="00776398" w:rsidP="00FA3F9E">
      <w:pPr>
        <w:spacing w:after="0" w:line="360" w:lineRule="auto"/>
        <w:jc w:val="both"/>
        <w:rPr>
          <w:rFonts w:ascii="Times New Roman" w:hAnsi="Times New Roman" w:cs="Times New Roman"/>
          <w:sz w:val="28"/>
          <w:szCs w:val="28"/>
        </w:rPr>
      </w:pPr>
    </w:p>
    <w:p w:rsidR="00BB4FD2" w:rsidRDefault="00BB4FD2"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проведения независимой оценки в соответствии с утвержденным п</w:t>
      </w:r>
      <w:r w:rsidR="00E9556A">
        <w:rPr>
          <w:rFonts w:ascii="Times New Roman" w:hAnsi="Times New Roman" w:cs="Times New Roman"/>
          <w:sz w:val="28"/>
          <w:szCs w:val="28"/>
        </w:rPr>
        <w:t>еречнем показателей у учреждения</w:t>
      </w:r>
      <w:r>
        <w:rPr>
          <w:rFonts w:ascii="Times New Roman" w:hAnsi="Times New Roman" w:cs="Times New Roman"/>
          <w:sz w:val="28"/>
          <w:szCs w:val="28"/>
        </w:rPr>
        <w:t xml:space="preserve">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150503" w:rsidRDefault="00150503"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77E71">
        <w:rPr>
          <w:rFonts w:ascii="Times New Roman" w:hAnsi="Times New Roman" w:cs="Times New Roman"/>
          <w:sz w:val="28"/>
          <w:szCs w:val="28"/>
        </w:rPr>
        <w:t xml:space="preserve"> </w:t>
      </w:r>
      <w:r>
        <w:rPr>
          <w:rFonts w:ascii="Times New Roman" w:hAnsi="Times New Roman" w:cs="Times New Roman"/>
          <w:sz w:val="28"/>
          <w:szCs w:val="28"/>
        </w:rPr>
        <w:t>Недостатки выявленные по результатам обследования</w:t>
      </w:r>
      <w:r w:rsidR="00E9556A">
        <w:rPr>
          <w:rFonts w:ascii="Times New Roman" w:hAnsi="Times New Roman" w:cs="Times New Roman"/>
          <w:sz w:val="28"/>
          <w:szCs w:val="28"/>
        </w:rPr>
        <w:t xml:space="preserve"> официального</w:t>
      </w:r>
      <w:r>
        <w:rPr>
          <w:rFonts w:ascii="Times New Roman" w:hAnsi="Times New Roman" w:cs="Times New Roman"/>
          <w:sz w:val="28"/>
          <w:szCs w:val="28"/>
        </w:rPr>
        <w:t xml:space="preserve"> са</w:t>
      </w:r>
      <w:r w:rsidR="00854A58">
        <w:rPr>
          <w:rFonts w:ascii="Times New Roman" w:hAnsi="Times New Roman" w:cs="Times New Roman"/>
          <w:sz w:val="28"/>
          <w:szCs w:val="28"/>
        </w:rPr>
        <w:t>йта образовательной</w:t>
      </w:r>
      <w:r w:rsidR="00E9556A">
        <w:rPr>
          <w:rFonts w:ascii="Times New Roman" w:hAnsi="Times New Roman" w:cs="Times New Roman"/>
          <w:sz w:val="28"/>
          <w:szCs w:val="28"/>
        </w:rPr>
        <w:t xml:space="preserve"> организации</w:t>
      </w:r>
      <w:r w:rsidR="00CE4D9B">
        <w:rPr>
          <w:rFonts w:ascii="Times New Roman" w:hAnsi="Times New Roman" w:cs="Times New Roman"/>
          <w:sz w:val="28"/>
          <w:szCs w:val="28"/>
        </w:rPr>
        <w:t>, т.е. отсутствуют следующие информационные объекты/элементы или соответствующая информация на официальном сайте организации:</w:t>
      </w:r>
    </w:p>
    <w:p w:rsidR="00B57F6B" w:rsidRPr="00B57F6B" w:rsidRDefault="00B57F6B" w:rsidP="00B57F6B">
      <w:pPr>
        <w:pStyle w:val="a7"/>
        <w:numPr>
          <w:ilvl w:val="0"/>
          <w:numId w:val="18"/>
        </w:numPr>
        <w:ind w:left="0" w:firstLine="709"/>
        <w:jc w:val="both"/>
        <w:rPr>
          <w:lang w:eastAsia="ru-RU"/>
        </w:rPr>
      </w:pPr>
      <w:r w:rsidRPr="00B57F6B">
        <w:rPr>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57F6B" w:rsidRPr="00B57F6B" w:rsidRDefault="00B57F6B" w:rsidP="00B57F6B">
      <w:pPr>
        <w:pStyle w:val="a7"/>
        <w:numPr>
          <w:ilvl w:val="0"/>
          <w:numId w:val="18"/>
        </w:numPr>
        <w:ind w:left="0" w:firstLine="709"/>
        <w:jc w:val="both"/>
        <w:rPr>
          <w:lang w:eastAsia="ru-RU"/>
        </w:rPr>
      </w:pPr>
      <w:r w:rsidRPr="00B57F6B">
        <w:rPr>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p w:rsidR="00B57F6B" w:rsidRPr="00B57F6B" w:rsidRDefault="00B57F6B" w:rsidP="00B57F6B">
      <w:pPr>
        <w:pStyle w:val="a7"/>
        <w:numPr>
          <w:ilvl w:val="0"/>
          <w:numId w:val="18"/>
        </w:numPr>
        <w:ind w:left="0" w:firstLine="709"/>
        <w:jc w:val="both"/>
        <w:rPr>
          <w:lang w:eastAsia="ru-RU"/>
        </w:rPr>
      </w:pPr>
      <w:r w:rsidRPr="00B57F6B">
        <w:rPr>
          <w:lang w:eastAsia="ru-RU"/>
        </w:rPr>
        <w:t xml:space="preserve">Информация об условиях охраны здоровья обучающихся, в том числе инвалидов и лиц с ограниченными возможностями здоровья </w:t>
      </w:r>
    </w:p>
    <w:p w:rsidR="00B57F6B" w:rsidRPr="00B57F6B" w:rsidRDefault="00B57F6B" w:rsidP="00B57F6B">
      <w:pPr>
        <w:pStyle w:val="a7"/>
        <w:numPr>
          <w:ilvl w:val="0"/>
          <w:numId w:val="18"/>
        </w:numPr>
        <w:ind w:left="0" w:firstLine="709"/>
        <w:jc w:val="both"/>
        <w:rPr>
          <w:lang w:eastAsia="ru-RU"/>
        </w:rPr>
      </w:pPr>
      <w:r w:rsidRPr="00B57F6B">
        <w:rPr>
          <w:lang w:eastAsia="ru-RU"/>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rsidR="00B57F6B" w:rsidRPr="00B57F6B" w:rsidRDefault="00B57F6B" w:rsidP="00B57F6B">
      <w:pPr>
        <w:pStyle w:val="a7"/>
        <w:numPr>
          <w:ilvl w:val="0"/>
          <w:numId w:val="18"/>
        </w:numPr>
        <w:ind w:left="0" w:firstLine="709"/>
        <w:jc w:val="both"/>
        <w:rPr>
          <w:lang w:eastAsia="ru-RU"/>
        </w:rPr>
      </w:pPr>
      <w:r w:rsidRPr="00B57F6B">
        <w:rPr>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594A46" w:rsidRPr="00B57F6B" w:rsidRDefault="00594A46" w:rsidP="00594A46">
      <w:pPr>
        <w:pStyle w:val="a7"/>
        <w:spacing w:line="360" w:lineRule="auto"/>
        <w:jc w:val="both"/>
        <w:rPr>
          <w:sz w:val="28"/>
          <w:szCs w:val="28"/>
          <w:lang w:val="ru-RU"/>
        </w:rPr>
      </w:pPr>
    </w:p>
    <w:p w:rsidR="00D2593C" w:rsidRPr="00D2593C" w:rsidRDefault="00594A46" w:rsidP="00D2593C">
      <w:pPr>
        <w:spacing w:after="0" w:line="360" w:lineRule="auto"/>
        <w:ind w:firstLine="708"/>
        <w:jc w:val="both"/>
        <w:rPr>
          <w:rFonts w:ascii="Times New Roman" w:hAnsi="Times New Roman" w:cs="Times New Roman"/>
          <w:sz w:val="28"/>
          <w:szCs w:val="28"/>
        </w:rPr>
      </w:pPr>
      <w:r w:rsidRPr="00D2593C">
        <w:rPr>
          <w:rFonts w:ascii="Times New Roman" w:hAnsi="Times New Roman" w:cs="Times New Roman"/>
          <w:sz w:val="28"/>
          <w:szCs w:val="28"/>
        </w:rPr>
        <w:t xml:space="preserve">2) Недостатки выявленные </w:t>
      </w:r>
      <w:r w:rsidR="00D2593C" w:rsidRPr="00D2593C">
        <w:rPr>
          <w:rFonts w:ascii="Times New Roman" w:hAnsi="Times New Roman" w:cs="Times New Roman"/>
          <w:sz w:val="28"/>
          <w:szCs w:val="28"/>
        </w:rPr>
        <w:t>по результатам изучения информационных стендов внутри помещений организаций:</w:t>
      </w:r>
    </w:p>
    <w:p w:rsidR="002074FF" w:rsidRPr="002074FF" w:rsidRDefault="00594A46" w:rsidP="002074FF">
      <w:pPr>
        <w:pStyle w:val="a7"/>
        <w:numPr>
          <w:ilvl w:val="0"/>
          <w:numId w:val="18"/>
        </w:numPr>
        <w:ind w:left="0" w:firstLine="709"/>
        <w:jc w:val="both"/>
        <w:rPr>
          <w:rFonts w:ascii="Calibri" w:hAnsi="Calibri" w:cs="Calibri"/>
          <w:lang w:eastAsia="ru-RU"/>
        </w:rPr>
      </w:pPr>
      <w:r>
        <w:rPr>
          <w:sz w:val="28"/>
          <w:szCs w:val="28"/>
          <w:lang w:val="ru-RU"/>
        </w:rPr>
        <w:t xml:space="preserve"> </w:t>
      </w:r>
      <w:r w:rsidR="002074FF" w:rsidRPr="002074FF">
        <w:rPr>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94A46" w:rsidRPr="00594A46" w:rsidRDefault="00594A46" w:rsidP="00594A46">
      <w:pPr>
        <w:pStyle w:val="a7"/>
        <w:spacing w:line="360" w:lineRule="auto"/>
        <w:jc w:val="both"/>
        <w:rPr>
          <w:sz w:val="28"/>
          <w:szCs w:val="28"/>
          <w:lang w:val="ru-RU"/>
        </w:rPr>
      </w:pPr>
    </w:p>
    <w:p w:rsidR="00594A46" w:rsidRPr="00594A46" w:rsidRDefault="00594A46" w:rsidP="00594A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94A46">
        <w:rPr>
          <w:rFonts w:ascii="Times New Roman" w:hAnsi="Times New Roman" w:cs="Times New Roman"/>
          <w:sz w:val="28"/>
          <w:szCs w:val="28"/>
        </w:rPr>
        <w:t>) Недостатки выявленные в ходе изучения условий комфортности оказания услуг, т.е. отсутствуют следующие параметры комфортности:</w:t>
      </w:r>
    </w:p>
    <w:p w:rsidR="00550830" w:rsidRPr="000969A5" w:rsidRDefault="000969A5" w:rsidP="000969A5">
      <w:pPr>
        <w:pStyle w:val="a7"/>
        <w:numPr>
          <w:ilvl w:val="0"/>
          <w:numId w:val="18"/>
        </w:numPr>
        <w:ind w:left="0" w:firstLine="709"/>
        <w:jc w:val="both"/>
        <w:rPr>
          <w:lang w:eastAsia="ru-RU"/>
        </w:rPr>
      </w:pPr>
      <w:r w:rsidRPr="000969A5">
        <w:rPr>
          <w:lang w:eastAsia="ru-RU"/>
        </w:rPr>
        <w:t>Наличие комфортной зоны отдыха</w:t>
      </w:r>
    </w:p>
    <w:p w:rsidR="000969A5" w:rsidRDefault="000969A5" w:rsidP="00FA3F9E">
      <w:pPr>
        <w:spacing w:after="0" w:line="360" w:lineRule="auto"/>
        <w:ind w:firstLine="708"/>
        <w:jc w:val="both"/>
        <w:rPr>
          <w:rFonts w:ascii="Times New Roman" w:hAnsi="Times New Roman" w:cs="Times New Roman"/>
          <w:sz w:val="28"/>
          <w:szCs w:val="28"/>
        </w:rPr>
      </w:pPr>
    </w:p>
    <w:p w:rsidR="00526D1A" w:rsidRDefault="00594A46" w:rsidP="00FA3F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Недостатки выявленные в ходе изучения условий доступности </w:t>
      </w:r>
      <w:r w:rsidR="005A5F79">
        <w:rPr>
          <w:rFonts w:ascii="Times New Roman" w:hAnsi="Times New Roman" w:cs="Times New Roman"/>
          <w:sz w:val="28"/>
          <w:szCs w:val="28"/>
        </w:rPr>
        <w:t>услуг для инвалидов, т.е. отсутствуют следующие параметры доступности:</w:t>
      </w:r>
    </w:p>
    <w:p w:rsidR="00963415" w:rsidRPr="006077AE" w:rsidRDefault="00963415" w:rsidP="00963415">
      <w:pPr>
        <w:pStyle w:val="a7"/>
        <w:numPr>
          <w:ilvl w:val="0"/>
          <w:numId w:val="18"/>
        </w:numPr>
        <w:ind w:left="0" w:firstLine="709"/>
        <w:jc w:val="both"/>
        <w:rPr>
          <w:lang w:eastAsia="ru-RU"/>
        </w:rPr>
      </w:pPr>
      <w:r w:rsidRPr="009135F7">
        <w:rPr>
          <w:lang w:eastAsia="ru-RU"/>
        </w:rPr>
        <w:t>Наличие выделенных стоянок для автотранспортных средств инвалидов</w:t>
      </w:r>
    </w:p>
    <w:p w:rsidR="00963415" w:rsidRPr="006077AE" w:rsidRDefault="00963415" w:rsidP="00963415">
      <w:pPr>
        <w:pStyle w:val="a7"/>
        <w:numPr>
          <w:ilvl w:val="0"/>
          <w:numId w:val="18"/>
        </w:numPr>
        <w:ind w:left="0" w:firstLine="709"/>
        <w:jc w:val="both"/>
        <w:rPr>
          <w:lang w:eastAsia="ru-RU"/>
        </w:rPr>
      </w:pPr>
      <w:r w:rsidRPr="006077AE">
        <w:rPr>
          <w:lang w:eastAsia="ru-RU"/>
        </w:rPr>
        <w:t>Наличие адаптированных лифтов, поручней, расширенных дверных проемов</w:t>
      </w:r>
    </w:p>
    <w:p w:rsidR="00963415" w:rsidRDefault="00963415" w:rsidP="00963415">
      <w:pPr>
        <w:pStyle w:val="a7"/>
        <w:numPr>
          <w:ilvl w:val="0"/>
          <w:numId w:val="18"/>
        </w:numPr>
        <w:ind w:left="0" w:firstLine="709"/>
        <w:jc w:val="both"/>
        <w:rPr>
          <w:lang w:eastAsia="ru-RU"/>
        </w:rPr>
      </w:pPr>
      <w:r w:rsidRPr="006077AE">
        <w:rPr>
          <w:lang w:eastAsia="ru-RU"/>
        </w:rPr>
        <w:t>Наличие сменных кресел-колясок</w:t>
      </w:r>
    </w:p>
    <w:p w:rsidR="00963415" w:rsidRPr="006077AE" w:rsidRDefault="00963415" w:rsidP="00963415">
      <w:pPr>
        <w:pStyle w:val="a7"/>
        <w:numPr>
          <w:ilvl w:val="0"/>
          <w:numId w:val="18"/>
        </w:numPr>
        <w:ind w:left="0" w:firstLine="709"/>
        <w:jc w:val="both"/>
        <w:rPr>
          <w:lang w:eastAsia="ru-RU"/>
        </w:rPr>
      </w:pPr>
      <w:r w:rsidRPr="009135F7">
        <w:rPr>
          <w:lang w:eastAsia="ru-RU"/>
        </w:rPr>
        <w:t xml:space="preserve">Наличие специально оборудованного санитарно-гигиенического помещения </w:t>
      </w:r>
    </w:p>
    <w:p w:rsidR="00963415" w:rsidRDefault="00963415" w:rsidP="00963415">
      <w:pPr>
        <w:pStyle w:val="a7"/>
        <w:numPr>
          <w:ilvl w:val="0"/>
          <w:numId w:val="18"/>
        </w:numPr>
        <w:ind w:left="0" w:firstLine="709"/>
        <w:jc w:val="both"/>
        <w:rPr>
          <w:lang w:eastAsia="ru-RU"/>
        </w:rPr>
      </w:pPr>
      <w:r w:rsidRPr="006077AE">
        <w:rPr>
          <w:lang w:eastAsia="ru-RU"/>
        </w:rPr>
        <w:t>Дублирование для инвалидов по слуху и зрению звуковой и зрительной информации</w:t>
      </w:r>
    </w:p>
    <w:p w:rsidR="00963415" w:rsidRPr="009135F7" w:rsidRDefault="00963415" w:rsidP="00963415">
      <w:pPr>
        <w:pStyle w:val="a7"/>
        <w:numPr>
          <w:ilvl w:val="0"/>
          <w:numId w:val="18"/>
        </w:numPr>
        <w:ind w:left="0" w:firstLine="709"/>
        <w:jc w:val="both"/>
        <w:rPr>
          <w:lang w:eastAsia="ru-RU"/>
        </w:rPr>
      </w:pPr>
      <w:r w:rsidRPr="009135F7">
        <w:rPr>
          <w:lang w:eastAsia="ru-RU"/>
        </w:rPr>
        <w:t>Дублирование надписей, знаков и иной текстовой и графической информации знаками, выполненными рельефно-точечным шрифтом Брайля</w:t>
      </w:r>
    </w:p>
    <w:p w:rsidR="00963415" w:rsidRPr="009135F7" w:rsidRDefault="00963415" w:rsidP="00963415">
      <w:pPr>
        <w:pStyle w:val="a7"/>
        <w:numPr>
          <w:ilvl w:val="0"/>
          <w:numId w:val="18"/>
        </w:numPr>
        <w:ind w:left="0" w:firstLine="709"/>
        <w:jc w:val="both"/>
        <w:rPr>
          <w:lang w:eastAsia="ru-RU"/>
        </w:rPr>
      </w:pPr>
      <w:r w:rsidRPr="009135F7">
        <w:rPr>
          <w:lang w:eastAsia="ru-RU"/>
        </w:rPr>
        <w:t>Возможность предоставления инвалидам по слуху (слуху и зрению) услуг сурдопереводчика (тифлосурдопереводчика)</w:t>
      </w:r>
    </w:p>
    <w:p w:rsidR="00963415" w:rsidRPr="009135F7" w:rsidRDefault="00963415" w:rsidP="00963415">
      <w:pPr>
        <w:pStyle w:val="a7"/>
        <w:numPr>
          <w:ilvl w:val="0"/>
          <w:numId w:val="18"/>
        </w:numPr>
        <w:ind w:left="0" w:firstLine="709"/>
        <w:jc w:val="both"/>
        <w:rPr>
          <w:lang w:eastAsia="ru-RU"/>
        </w:rPr>
      </w:pPr>
      <w:r w:rsidRPr="009135F7">
        <w:rPr>
          <w:lang w:eastAsia="ru-RU"/>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76398" w:rsidRDefault="00776398">
      <w:pPr>
        <w:spacing w:after="160" w:line="259" w:lineRule="auto"/>
        <w:rPr>
          <w:rFonts w:ascii="Times New Roman" w:hAnsi="Times New Roman" w:cs="Times New Roman"/>
          <w:sz w:val="28"/>
          <w:szCs w:val="28"/>
        </w:rPr>
      </w:pPr>
    </w:p>
    <w:p w:rsidR="00B54873" w:rsidRDefault="00B54873" w:rsidP="00776398">
      <w:pPr>
        <w:pStyle w:val="2"/>
        <w:sectPr w:rsidR="00B54873" w:rsidSect="00776398">
          <w:footerReference w:type="default" r:id="rId10"/>
          <w:pgSz w:w="11906" w:h="16838"/>
          <w:pgMar w:top="1134" w:right="850" w:bottom="1134" w:left="1701" w:header="708" w:footer="708" w:gutter="0"/>
          <w:cols w:space="708"/>
          <w:titlePg/>
          <w:docGrid w:linePitch="360"/>
        </w:sectPr>
      </w:pPr>
    </w:p>
    <w:p w:rsidR="00776398" w:rsidRDefault="00776398" w:rsidP="00776398">
      <w:pPr>
        <w:pStyle w:val="2"/>
      </w:pPr>
      <w:bookmarkStart w:id="3" w:name="_Toc39664905"/>
      <w:r>
        <w:lastRenderedPageBreak/>
        <w:t>ЗАКЛЮЧЕНИЕ</w:t>
      </w:r>
      <w:bookmarkEnd w:id="3"/>
    </w:p>
    <w:p w:rsidR="00776398" w:rsidRDefault="00776398" w:rsidP="00DF220D">
      <w:pPr>
        <w:spacing w:after="0" w:line="360" w:lineRule="auto"/>
        <w:jc w:val="both"/>
        <w:rPr>
          <w:rFonts w:ascii="Times New Roman" w:hAnsi="Times New Roman" w:cs="Times New Roman"/>
          <w:sz w:val="28"/>
          <w:szCs w:val="28"/>
        </w:rPr>
      </w:pPr>
    </w:p>
    <w:p w:rsidR="006A0F15" w:rsidRDefault="006A0F15" w:rsidP="00DF220D">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w:t>
      </w:r>
      <w:r w:rsidR="00F86775">
        <w:rPr>
          <w:rFonts w:ascii="Times New Roman" w:hAnsi="Times New Roman" w:cs="Times New Roman"/>
          <w:sz w:val="28"/>
          <w:szCs w:val="28"/>
        </w:rPr>
        <w:t xml:space="preserve"> </w:t>
      </w:r>
      <w:r w:rsidR="00954D2D">
        <w:rPr>
          <w:rFonts w:ascii="Times New Roman" w:hAnsi="Times New Roman" w:cs="Times New Roman"/>
          <w:sz w:val="28"/>
          <w:szCs w:val="28"/>
        </w:rPr>
        <w:t>Бакалинского района</w:t>
      </w:r>
      <w:r w:rsidR="008E34B5" w:rsidRPr="008113BC">
        <w:rPr>
          <w:rFonts w:ascii="Times New Roman" w:hAnsi="Times New Roman" w:cs="Times New Roman"/>
          <w:sz w:val="28"/>
          <w:szCs w:val="28"/>
        </w:rPr>
        <w:t xml:space="preserve"> </w:t>
      </w:r>
      <w:r w:rsidR="008E34B5" w:rsidRPr="001F2A30">
        <w:rPr>
          <w:rFonts w:ascii="Times New Roman" w:hAnsi="Times New Roman" w:cs="Times New Roman"/>
          <w:b/>
          <w:sz w:val="28"/>
          <w:szCs w:val="28"/>
          <w:u w:val="single"/>
        </w:rPr>
        <w:t>и</w:t>
      </w:r>
      <w:r w:rsidRPr="001F2A30">
        <w:rPr>
          <w:rFonts w:ascii="Times New Roman" w:hAnsi="Times New Roman" w:cs="Times New Roman"/>
          <w:b/>
          <w:sz w:val="28"/>
          <w:szCs w:val="28"/>
          <w:u w:val="single"/>
        </w:rPr>
        <w:t xml:space="preserve">тоговый балл </w:t>
      </w:r>
      <w:r w:rsidR="009C7586" w:rsidRPr="001F2A30">
        <w:rPr>
          <w:rFonts w:ascii="Times New Roman" w:hAnsi="Times New Roman" w:cs="Times New Roman"/>
          <w:b/>
          <w:sz w:val="28"/>
          <w:szCs w:val="28"/>
          <w:u w:val="single"/>
        </w:rPr>
        <w:t>организации</w:t>
      </w:r>
      <w:r w:rsidRPr="001F2A30">
        <w:rPr>
          <w:rFonts w:ascii="Times New Roman" w:hAnsi="Times New Roman" w:cs="Times New Roman"/>
          <w:b/>
          <w:sz w:val="28"/>
          <w:szCs w:val="28"/>
          <w:u w:val="single"/>
        </w:rPr>
        <w:t xml:space="preserve"> </w:t>
      </w:r>
      <w:r w:rsidR="00195265" w:rsidRPr="00195265">
        <w:rPr>
          <w:rFonts w:ascii="Times New Roman" w:hAnsi="Times New Roman" w:cs="Times New Roman"/>
          <w:b/>
          <w:sz w:val="28"/>
          <w:szCs w:val="28"/>
          <w:u w:val="single"/>
        </w:rPr>
        <w:t xml:space="preserve">МОБУ СОШ села Мустафино </w:t>
      </w:r>
      <w:r w:rsidRPr="001F2A30">
        <w:rPr>
          <w:rFonts w:ascii="Times New Roman" w:hAnsi="Times New Roman" w:cs="Times New Roman"/>
          <w:b/>
          <w:sz w:val="28"/>
          <w:szCs w:val="28"/>
          <w:u w:val="single"/>
        </w:rPr>
        <w:t xml:space="preserve">составил </w:t>
      </w:r>
      <w:r w:rsidR="0065130D">
        <w:rPr>
          <w:rFonts w:ascii="Times New Roman" w:hAnsi="Times New Roman" w:cs="Times New Roman"/>
          <w:b/>
          <w:sz w:val="28"/>
          <w:szCs w:val="28"/>
          <w:u w:val="single"/>
        </w:rPr>
        <w:t>81,6</w:t>
      </w:r>
      <w:bookmarkStart w:id="4" w:name="_GoBack"/>
      <w:bookmarkEnd w:id="4"/>
      <w:r w:rsidR="00767444" w:rsidRPr="001F2A30">
        <w:rPr>
          <w:rFonts w:ascii="Times New Roman" w:hAnsi="Times New Roman" w:cs="Times New Roman"/>
          <w:b/>
          <w:sz w:val="28"/>
          <w:szCs w:val="28"/>
          <w:u w:val="single"/>
        </w:rPr>
        <w:t xml:space="preserve"> </w:t>
      </w:r>
      <w:r w:rsidRPr="001F2A30">
        <w:rPr>
          <w:rFonts w:ascii="Times New Roman" w:hAnsi="Times New Roman" w:cs="Times New Roman"/>
          <w:b/>
          <w:sz w:val="28"/>
          <w:szCs w:val="28"/>
          <w:u w:val="single"/>
        </w:rPr>
        <w:t>балла.</w:t>
      </w:r>
    </w:p>
    <w:p w:rsidR="00767444" w:rsidRDefault="00767444" w:rsidP="00DF220D">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 для практической реализации предлагаются следующие рекомендации:</w:t>
      </w:r>
    </w:p>
    <w:p w:rsidR="00767444" w:rsidRDefault="0024438E"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необходимо устранить в</w:t>
      </w:r>
      <w:r w:rsidR="009C7586">
        <w:rPr>
          <w:rFonts w:ascii="Times New Roman" w:hAnsi="Times New Roman" w:cs="Times New Roman"/>
          <w:sz w:val="28"/>
          <w:szCs w:val="28"/>
        </w:rPr>
        <w:t xml:space="preserve">ыявленные недостатки официального сайта организации </w:t>
      </w:r>
      <w:r>
        <w:rPr>
          <w:rFonts w:ascii="Times New Roman" w:hAnsi="Times New Roman" w:cs="Times New Roman"/>
          <w:sz w:val="28"/>
          <w:szCs w:val="28"/>
        </w:rPr>
        <w:t>в сети Интернет;</w:t>
      </w:r>
    </w:p>
    <w:p w:rsidR="00594A46" w:rsidRDefault="00594A46"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Для повышения показателей информационной открытости необходимо устранить выявленные недостатки информационных стендов внутри помещений организации;</w:t>
      </w:r>
    </w:p>
    <w:p w:rsidR="00594A46" w:rsidRDefault="00594A46"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Для повышения показателей комфортности условий оказания услуг необходимо устранить выявленные недостатки по параметрам, характеризующим комфортность условий оказания услуг;</w:t>
      </w:r>
    </w:p>
    <w:p w:rsidR="0024438E" w:rsidRDefault="00594A46"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4438E">
        <w:rPr>
          <w:rFonts w:ascii="Times New Roman" w:hAnsi="Times New Roman" w:cs="Times New Roman"/>
          <w:sz w:val="28"/>
          <w:szCs w:val="28"/>
        </w:rPr>
        <w:t xml:space="preserve">) Для повышения показателей доступности услуг для инвалидов необходимо оценить возможность (в том числе техническую), </w:t>
      </w:r>
      <w:r w:rsidR="00587BD4">
        <w:rPr>
          <w:rFonts w:ascii="Times New Roman" w:hAnsi="Times New Roman" w:cs="Times New Roman"/>
          <w:sz w:val="28"/>
          <w:szCs w:val="28"/>
        </w:rPr>
        <w:t>а также необходимость устранения выявленных недоста</w:t>
      </w:r>
      <w:r w:rsidR="002F1B1F">
        <w:rPr>
          <w:rFonts w:ascii="Times New Roman" w:hAnsi="Times New Roman" w:cs="Times New Roman"/>
          <w:sz w:val="28"/>
          <w:szCs w:val="28"/>
        </w:rPr>
        <w:t>тков оборудованности организации</w:t>
      </w:r>
      <w:r w:rsidR="00587BD4">
        <w:rPr>
          <w:rFonts w:ascii="Times New Roman" w:hAnsi="Times New Roman" w:cs="Times New Roman"/>
          <w:sz w:val="28"/>
          <w:szCs w:val="28"/>
        </w:rPr>
        <w:t>, с учетом наличия определенных категорий получателей услуг с ограниченными возможностями;</w:t>
      </w:r>
    </w:p>
    <w:p w:rsidR="00767444" w:rsidRDefault="00594A46"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87BD4">
        <w:rPr>
          <w:rFonts w:ascii="Times New Roman" w:hAnsi="Times New Roman" w:cs="Times New Roman"/>
          <w:sz w:val="28"/>
          <w:szCs w:val="28"/>
        </w:rPr>
        <w:t>) Для повышения показателей удовлетворенности получателей услуг различными пока</w:t>
      </w:r>
      <w:r w:rsidR="002F1B1F">
        <w:rPr>
          <w:rFonts w:ascii="Times New Roman" w:hAnsi="Times New Roman" w:cs="Times New Roman"/>
          <w:sz w:val="28"/>
          <w:szCs w:val="28"/>
        </w:rPr>
        <w:t>зателями работы образовательного учреждения</w:t>
      </w:r>
      <w:r w:rsidR="00587BD4">
        <w:rPr>
          <w:rFonts w:ascii="Times New Roman" w:hAnsi="Times New Roman" w:cs="Times New Roman"/>
          <w:sz w:val="28"/>
          <w:szCs w:val="28"/>
        </w:rPr>
        <w:t xml:space="preserve"> рекомендуется рассмотреть рекомендации/недостатки/пожелания, отмеченные самими получателями услуг в ходе опроса.</w:t>
      </w:r>
    </w:p>
    <w:p w:rsidR="00B57F6B" w:rsidRDefault="00B57F6B" w:rsidP="00DF220D">
      <w:pPr>
        <w:spacing w:after="0" w:line="360" w:lineRule="auto"/>
        <w:ind w:firstLine="708"/>
        <w:jc w:val="both"/>
        <w:rPr>
          <w:rFonts w:ascii="Times New Roman" w:hAnsi="Times New Roman" w:cs="Times New Roman"/>
          <w:sz w:val="28"/>
          <w:szCs w:val="28"/>
        </w:rPr>
      </w:pPr>
    </w:p>
    <w:p w:rsidR="00B57F6B" w:rsidRDefault="00B57F6B" w:rsidP="00DF220D">
      <w:pPr>
        <w:spacing w:after="0" w:line="360" w:lineRule="auto"/>
        <w:ind w:firstLine="708"/>
        <w:jc w:val="both"/>
        <w:rPr>
          <w:rFonts w:ascii="Times New Roman" w:hAnsi="Times New Roman" w:cs="Times New Roman"/>
          <w:sz w:val="28"/>
          <w:szCs w:val="28"/>
        </w:rPr>
      </w:pPr>
    </w:p>
    <w:p w:rsidR="004C5798" w:rsidRDefault="004C5798" w:rsidP="00DF2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Рекомендации и пожелания респондентов, выявленные в ходе опроса получателей услуг:</w:t>
      </w:r>
    </w:p>
    <w:p w:rsidR="00332AFA" w:rsidRPr="00332AFA" w:rsidRDefault="00332AFA" w:rsidP="00332AFA">
      <w:pPr>
        <w:pStyle w:val="a7"/>
        <w:numPr>
          <w:ilvl w:val="0"/>
          <w:numId w:val="18"/>
        </w:numPr>
        <w:ind w:left="0" w:firstLine="709"/>
        <w:jc w:val="both"/>
        <w:rPr>
          <w:lang w:eastAsia="ru-RU"/>
        </w:rPr>
      </w:pPr>
      <w:r w:rsidRPr="00332AFA">
        <w:rPr>
          <w:lang w:eastAsia="ru-RU"/>
        </w:rPr>
        <w:t>Нужны кружки для развития учащихся</w:t>
      </w:r>
    </w:p>
    <w:p w:rsidR="00332AFA" w:rsidRPr="00332AFA" w:rsidRDefault="00332AFA" w:rsidP="00332AFA">
      <w:pPr>
        <w:pStyle w:val="a7"/>
        <w:numPr>
          <w:ilvl w:val="0"/>
          <w:numId w:val="18"/>
        </w:numPr>
        <w:ind w:left="0" w:firstLine="709"/>
        <w:jc w:val="both"/>
        <w:rPr>
          <w:lang w:eastAsia="ru-RU"/>
        </w:rPr>
      </w:pPr>
      <w:r w:rsidRPr="00332AFA">
        <w:rPr>
          <w:lang w:eastAsia="ru-RU"/>
        </w:rPr>
        <w:t>Убрать очередь</w:t>
      </w:r>
    </w:p>
    <w:p w:rsidR="006D7AC9" w:rsidRDefault="006D7AC9" w:rsidP="00332AFA">
      <w:pPr>
        <w:pStyle w:val="a7"/>
        <w:spacing w:line="360" w:lineRule="auto"/>
        <w:ind w:left="0"/>
        <w:jc w:val="both"/>
        <w:rPr>
          <w:sz w:val="28"/>
          <w:szCs w:val="28"/>
        </w:rPr>
      </w:pPr>
    </w:p>
    <w:sectPr w:rsidR="006D7AC9" w:rsidSect="007763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AC" w:rsidRDefault="00867DAC" w:rsidP="00776398">
      <w:pPr>
        <w:spacing w:after="0" w:line="240" w:lineRule="auto"/>
      </w:pPr>
      <w:r>
        <w:separator/>
      </w:r>
    </w:p>
  </w:endnote>
  <w:endnote w:type="continuationSeparator" w:id="0">
    <w:p w:rsidR="00867DAC" w:rsidRDefault="00867DAC"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7865"/>
      <w:docPartObj>
        <w:docPartGallery w:val="Page Numbers (Bottom of Page)"/>
        <w:docPartUnique/>
      </w:docPartObj>
    </w:sdtPr>
    <w:sdtEndPr/>
    <w:sdtContent>
      <w:p w:rsidR="00E9556A" w:rsidRDefault="00E9556A">
        <w:pPr>
          <w:pStyle w:val="a5"/>
          <w:jc w:val="center"/>
        </w:pPr>
        <w:r>
          <w:fldChar w:fldCharType="begin"/>
        </w:r>
        <w:r>
          <w:instrText>PAGE   \* MERGEFORMAT</w:instrText>
        </w:r>
        <w:r>
          <w:fldChar w:fldCharType="separate"/>
        </w:r>
        <w:r w:rsidR="0065130D">
          <w:rPr>
            <w:noProof/>
          </w:rPr>
          <w:t>19</w:t>
        </w:r>
        <w:r>
          <w:fldChar w:fldCharType="end"/>
        </w:r>
      </w:p>
    </w:sdtContent>
  </w:sdt>
  <w:p w:rsidR="00E9556A" w:rsidRDefault="00E955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AC" w:rsidRDefault="00867DAC" w:rsidP="00776398">
      <w:pPr>
        <w:spacing w:after="0" w:line="240" w:lineRule="auto"/>
      </w:pPr>
      <w:r>
        <w:separator/>
      </w:r>
    </w:p>
  </w:footnote>
  <w:footnote w:type="continuationSeparator" w:id="0">
    <w:p w:rsidR="00867DAC" w:rsidRDefault="00867DAC"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7pt;height:18.4pt" o:bullet="t">
        <v:imagedata r:id="rId1" o:title=""/>
      </v:shape>
    </w:pict>
  </w:numPicBullet>
  <w:abstractNum w:abstractNumId="0" w15:restartNumberingAfterBreak="0">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852A18"/>
    <w:multiLevelType w:val="hybridMultilevel"/>
    <w:tmpl w:val="1D62BA6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2"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3"/>
  </w:num>
  <w:num w:numId="6">
    <w:abstractNumId w:val="7"/>
  </w:num>
  <w:num w:numId="7">
    <w:abstractNumId w:val="1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14"/>
  </w:num>
  <w:num w:numId="13">
    <w:abstractNumId w:val="16"/>
  </w:num>
  <w:num w:numId="14">
    <w:abstractNumId w:val="12"/>
  </w:num>
  <w:num w:numId="15">
    <w:abstractNumId w:val="9"/>
  </w:num>
  <w:num w:numId="16">
    <w:abstractNumId w:val="4"/>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A6"/>
    <w:rsid w:val="000756F9"/>
    <w:rsid w:val="000969A5"/>
    <w:rsid w:val="000C1FD6"/>
    <w:rsid w:val="000E4D6F"/>
    <w:rsid w:val="000F3023"/>
    <w:rsid w:val="00101471"/>
    <w:rsid w:val="00124CA1"/>
    <w:rsid w:val="00141DC6"/>
    <w:rsid w:val="00144BC0"/>
    <w:rsid w:val="00150503"/>
    <w:rsid w:val="00151B20"/>
    <w:rsid w:val="0017175C"/>
    <w:rsid w:val="00183FB1"/>
    <w:rsid w:val="00195265"/>
    <w:rsid w:val="001B175E"/>
    <w:rsid w:val="001D0A2E"/>
    <w:rsid w:val="001D7B86"/>
    <w:rsid w:val="001F2A30"/>
    <w:rsid w:val="001F681B"/>
    <w:rsid w:val="002074FF"/>
    <w:rsid w:val="0021496F"/>
    <w:rsid w:val="0024438E"/>
    <w:rsid w:val="00267385"/>
    <w:rsid w:val="002865CE"/>
    <w:rsid w:val="00287934"/>
    <w:rsid w:val="002917F9"/>
    <w:rsid w:val="002A3F04"/>
    <w:rsid w:val="002C72A4"/>
    <w:rsid w:val="002D52D7"/>
    <w:rsid w:val="002D64C6"/>
    <w:rsid w:val="002F1B1F"/>
    <w:rsid w:val="002F72EB"/>
    <w:rsid w:val="00304506"/>
    <w:rsid w:val="0031165A"/>
    <w:rsid w:val="00315358"/>
    <w:rsid w:val="00332AFA"/>
    <w:rsid w:val="00337287"/>
    <w:rsid w:val="00346B1F"/>
    <w:rsid w:val="00347648"/>
    <w:rsid w:val="003572FA"/>
    <w:rsid w:val="00370C48"/>
    <w:rsid w:val="003A240C"/>
    <w:rsid w:val="003B4D34"/>
    <w:rsid w:val="003C47CA"/>
    <w:rsid w:val="003D5FEA"/>
    <w:rsid w:val="0040757F"/>
    <w:rsid w:val="00430B7E"/>
    <w:rsid w:val="004312BC"/>
    <w:rsid w:val="004358A9"/>
    <w:rsid w:val="0047103E"/>
    <w:rsid w:val="004710D5"/>
    <w:rsid w:val="004843FE"/>
    <w:rsid w:val="00485ADA"/>
    <w:rsid w:val="0049479B"/>
    <w:rsid w:val="004960D1"/>
    <w:rsid w:val="004A0C7D"/>
    <w:rsid w:val="004C5798"/>
    <w:rsid w:val="004D7E84"/>
    <w:rsid w:val="004F6513"/>
    <w:rsid w:val="00510015"/>
    <w:rsid w:val="005209AA"/>
    <w:rsid w:val="00526D1A"/>
    <w:rsid w:val="0053118A"/>
    <w:rsid w:val="00535E22"/>
    <w:rsid w:val="00550830"/>
    <w:rsid w:val="00565923"/>
    <w:rsid w:val="00580781"/>
    <w:rsid w:val="00587BD4"/>
    <w:rsid w:val="00594A46"/>
    <w:rsid w:val="005A526F"/>
    <w:rsid w:val="005A5F79"/>
    <w:rsid w:val="005B1CE9"/>
    <w:rsid w:val="005D4579"/>
    <w:rsid w:val="00601035"/>
    <w:rsid w:val="006077AE"/>
    <w:rsid w:val="00625B0C"/>
    <w:rsid w:val="0065130D"/>
    <w:rsid w:val="006530E2"/>
    <w:rsid w:val="0065602A"/>
    <w:rsid w:val="00657A28"/>
    <w:rsid w:val="00657F01"/>
    <w:rsid w:val="00681361"/>
    <w:rsid w:val="00694F37"/>
    <w:rsid w:val="006A0F15"/>
    <w:rsid w:val="006A3DCB"/>
    <w:rsid w:val="006B0E82"/>
    <w:rsid w:val="006B148B"/>
    <w:rsid w:val="006B29D4"/>
    <w:rsid w:val="006B5A0E"/>
    <w:rsid w:val="006C18A6"/>
    <w:rsid w:val="006C40DF"/>
    <w:rsid w:val="006D2FD3"/>
    <w:rsid w:val="006D4DB0"/>
    <w:rsid w:val="006D7AC9"/>
    <w:rsid w:val="006E1F4F"/>
    <w:rsid w:val="007113A4"/>
    <w:rsid w:val="00721DCA"/>
    <w:rsid w:val="0073681F"/>
    <w:rsid w:val="00747669"/>
    <w:rsid w:val="00747EDA"/>
    <w:rsid w:val="007622A5"/>
    <w:rsid w:val="00767444"/>
    <w:rsid w:val="00772D19"/>
    <w:rsid w:val="00776398"/>
    <w:rsid w:val="007822ED"/>
    <w:rsid w:val="007B7894"/>
    <w:rsid w:val="007C47D7"/>
    <w:rsid w:val="007E7911"/>
    <w:rsid w:val="008113B6"/>
    <w:rsid w:val="008113BC"/>
    <w:rsid w:val="0081413E"/>
    <w:rsid w:val="00822B8F"/>
    <w:rsid w:val="008458DA"/>
    <w:rsid w:val="00850331"/>
    <w:rsid w:val="00853715"/>
    <w:rsid w:val="00854A58"/>
    <w:rsid w:val="008672E1"/>
    <w:rsid w:val="00867DAC"/>
    <w:rsid w:val="00871063"/>
    <w:rsid w:val="00877DF3"/>
    <w:rsid w:val="00886FAB"/>
    <w:rsid w:val="008C33A9"/>
    <w:rsid w:val="008E1947"/>
    <w:rsid w:val="008E34B5"/>
    <w:rsid w:val="008E39C4"/>
    <w:rsid w:val="008E6B08"/>
    <w:rsid w:val="00937FF6"/>
    <w:rsid w:val="00954D2D"/>
    <w:rsid w:val="00963415"/>
    <w:rsid w:val="00964D77"/>
    <w:rsid w:val="00965DC3"/>
    <w:rsid w:val="00972191"/>
    <w:rsid w:val="009739DC"/>
    <w:rsid w:val="00974535"/>
    <w:rsid w:val="009840F5"/>
    <w:rsid w:val="00987B2C"/>
    <w:rsid w:val="009A0216"/>
    <w:rsid w:val="009A1D04"/>
    <w:rsid w:val="009A3298"/>
    <w:rsid w:val="009A6E69"/>
    <w:rsid w:val="009C2024"/>
    <w:rsid w:val="009C7568"/>
    <w:rsid w:val="009C7586"/>
    <w:rsid w:val="00A14B75"/>
    <w:rsid w:val="00A23DDA"/>
    <w:rsid w:val="00A2764F"/>
    <w:rsid w:val="00A30F7F"/>
    <w:rsid w:val="00A31A6B"/>
    <w:rsid w:val="00A367F7"/>
    <w:rsid w:val="00A41E33"/>
    <w:rsid w:val="00A51525"/>
    <w:rsid w:val="00A55498"/>
    <w:rsid w:val="00A6292C"/>
    <w:rsid w:val="00A7401D"/>
    <w:rsid w:val="00A75C3D"/>
    <w:rsid w:val="00A83639"/>
    <w:rsid w:val="00A94586"/>
    <w:rsid w:val="00AA0F8E"/>
    <w:rsid w:val="00AC1705"/>
    <w:rsid w:val="00AC2480"/>
    <w:rsid w:val="00AC3FFD"/>
    <w:rsid w:val="00AF2B9F"/>
    <w:rsid w:val="00B0732D"/>
    <w:rsid w:val="00B20895"/>
    <w:rsid w:val="00B25A5F"/>
    <w:rsid w:val="00B26DD9"/>
    <w:rsid w:val="00B32E26"/>
    <w:rsid w:val="00B33D94"/>
    <w:rsid w:val="00B407EB"/>
    <w:rsid w:val="00B46261"/>
    <w:rsid w:val="00B517BE"/>
    <w:rsid w:val="00B54873"/>
    <w:rsid w:val="00B5685D"/>
    <w:rsid w:val="00B57F6B"/>
    <w:rsid w:val="00B77E71"/>
    <w:rsid w:val="00B900CF"/>
    <w:rsid w:val="00B9425F"/>
    <w:rsid w:val="00BA5A9A"/>
    <w:rsid w:val="00BB0218"/>
    <w:rsid w:val="00BB4FD2"/>
    <w:rsid w:val="00BD6F11"/>
    <w:rsid w:val="00C03AA4"/>
    <w:rsid w:val="00C05526"/>
    <w:rsid w:val="00C30F8F"/>
    <w:rsid w:val="00C36478"/>
    <w:rsid w:val="00C403E8"/>
    <w:rsid w:val="00C41548"/>
    <w:rsid w:val="00C477BE"/>
    <w:rsid w:val="00C54697"/>
    <w:rsid w:val="00C630B5"/>
    <w:rsid w:val="00C73647"/>
    <w:rsid w:val="00C85B44"/>
    <w:rsid w:val="00CA1C88"/>
    <w:rsid w:val="00CA49AC"/>
    <w:rsid w:val="00CB03F8"/>
    <w:rsid w:val="00CB30B4"/>
    <w:rsid w:val="00CE4D9B"/>
    <w:rsid w:val="00CF44CE"/>
    <w:rsid w:val="00CF560F"/>
    <w:rsid w:val="00D24430"/>
    <w:rsid w:val="00D2516E"/>
    <w:rsid w:val="00D2593C"/>
    <w:rsid w:val="00D30364"/>
    <w:rsid w:val="00D31D29"/>
    <w:rsid w:val="00D50AE1"/>
    <w:rsid w:val="00D57026"/>
    <w:rsid w:val="00DA55DE"/>
    <w:rsid w:val="00DB0D11"/>
    <w:rsid w:val="00DB7249"/>
    <w:rsid w:val="00DE2540"/>
    <w:rsid w:val="00DF220D"/>
    <w:rsid w:val="00DF2F20"/>
    <w:rsid w:val="00E06BDE"/>
    <w:rsid w:val="00E11EC2"/>
    <w:rsid w:val="00E134FA"/>
    <w:rsid w:val="00E31013"/>
    <w:rsid w:val="00E4560D"/>
    <w:rsid w:val="00E51E09"/>
    <w:rsid w:val="00E53CFD"/>
    <w:rsid w:val="00E56B62"/>
    <w:rsid w:val="00E61C2F"/>
    <w:rsid w:val="00E92C81"/>
    <w:rsid w:val="00E9426C"/>
    <w:rsid w:val="00E9556A"/>
    <w:rsid w:val="00EA6521"/>
    <w:rsid w:val="00EF3863"/>
    <w:rsid w:val="00F064E2"/>
    <w:rsid w:val="00F17959"/>
    <w:rsid w:val="00F63201"/>
    <w:rsid w:val="00F709C9"/>
    <w:rsid w:val="00F70BE8"/>
    <w:rsid w:val="00F72A6A"/>
    <w:rsid w:val="00F86775"/>
    <w:rsid w:val="00F87662"/>
    <w:rsid w:val="00FA3F9E"/>
    <w:rsid w:val="00FB1365"/>
    <w:rsid w:val="00FB37CA"/>
    <w:rsid w:val="00FB5E3D"/>
    <w:rsid w:val="00FC1440"/>
    <w:rsid w:val="00FC1DED"/>
    <w:rsid w:val="00FC3016"/>
    <w:rsid w:val="00FD6759"/>
    <w:rsid w:val="00FF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A7C1"/>
  <w15:chartTrackingRefBased/>
  <w15:docId w15:val="{C94EAA04-502C-4A0B-BE21-1AC4499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3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45112283">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2313598">
      <w:bodyDiv w:val="1"/>
      <w:marLeft w:val="0"/>
      <w:marRight w:val="0"/>
      <w:marTop w:val="0"/>
      <w:marBottom w:val="0"/>
      <w:divBdr>
        <w:top w:val="none" w:sz="0" w:space="0" w:color="auto"/>
        <w:left w:val="none" w:sz="0" w:space="0" w:color="auto"/>
        <w:bottom w:val="none" w:sz="0" w:space="0" w:color="auto"/>
        <w:right w:val="none" w:sz="0" w:space="0" w:color="auto"/>
      </w:divBdr>
    </w:div>
    <w:div w:id="131754619">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7138319">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97009076">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87609997">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69790775">
      <w:bodyDiv w:val="1"/>
      <w:marLeft w:val="0"/>
      <w:marRight w:val="0"/>
      <w:marTop w:val="0"/>
      <w:marBottom w:val="0"/>
      <w:divBdr>
        <w:top w:val="none" w:sz="0" w:space="0" w:color="auto"/>
        <w:left w:val="none" w:sz="0" w:space="0" w:color="auto"/>
        <w:bottom w:val="none" w:sz="0" w:space="0" w:color="auto"/>
        <w:right w:val="none" w:sz="0" w:space="0" w:color="auto"/>
      </w:divBdr>
    </w:div>
    <w:div w:id="494608821">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61604161">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25890710">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54720020">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694308573">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565991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798576202">
      <w:bodyDiv w:val="1"/>
      <w:marLeft w:val="0"/>
      <w:marRight w:val="0"/>
      <w:marTop w:val="0"/>
      <w:marBottom w:val="0"/>
      <w:divBdr>
        <w:top w:val="none" w:sz="0" w:space="0" w:color="auto"/>
        <w:left w:val="none" w:sz="0" w:space="0" w:color="auto"/>
        <w:bottom w:val="none" w:sz="0" w:space="0" w:color="auto"/>
        <w:right w:val="none" w:sz="0" w:space="0" w:color="auto"/>
      </w:divBdr>
    </w:div>
    <w:div w:id="823083111">
      <w:bodyDiv w:val="1"/>
      <w:marLeft w:val="0"/>
      <w:marRight w:val="0"/>
      <w:marTop w:val="0"/>
      <w:marBottom w:val="0"/>
      <w:divBdr>
        <w:top w:val="none" w:sz="0" w:space="0" w:color="auto"/>
        <w:left w:val="none" w:sz="0" w:space="0" w:color="auto"/>
        <w:bottom w:val="none" w:sz="0" w:space="0" w:color="auto"/>
        <w:right w:val="none" w:sz="0" w:space="0" w:color="auto"/>
      </w:divBdr>
    </w:div>
    <w:div w:id="826438892">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7352808">
      <w:bodyDiv w:val="1"/>
      <w:marLeft w:val="0"/>
      <w:marRight w:val="0"/>
      <w:marTop w:val="0"/>
      <w:marBottom w:val="0"/>
      <w:divBdr>
        <w:top w:val="none" w:sz="0" w:space="0" w:color="auto"/>
        <w:left w:val="none" w:sz="0" w:space="0" w:color="auto"/>
        <w:bottom w:val="none" w:sz="0" w:space="0" w:color="auto"/>
        <w:right w:val="none" w:sz="0" w:space="0" w:color="auto"/>
      </w:divBdr>
    </w:div>
    <w:div w:id="930431663">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6544073">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0779159">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6110113">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97527202">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17160399">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48973835">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36072167">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7889940">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88644635">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64925176">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48721363">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096706803">
      <w:bodyDiv w:val="1"/>
      <w:marLeft w:val="0"/>
      <w:marRight w:val="0"/>
      <w:marTop w:val="0"/>
      <w:marBottom w:val="0"/>
      <w:divBdr>
        <w:top w:val="none" w:sz="0" w:space="0" w:color="auto"/>
        <w:left w:val="none" w:sz="0" w:space="0" w:color="auto"/>
        <w:bottom w:val="none" w:sz="0" w:space="0" w:color="auto"/>
        <w:right w:val="none" w:sz="0" w:space="0" w:color="auto"/>
      </w:divBdr>
    </w:div>
    <w:div w:id="2125151458">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3D89-8BB2-44BF-83B2-68B81833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19</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dcterms:created xsi:type="dcterms:W3CDTF">2019-10-08T07:24:00Z</dcterms:created>
  <dcterms:modified xsi:type="dcterms:W3CDTF">2020-11-19T13:39:00Z</dcterms:modified>
</cp:coreProperties>
</file>